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F4C1A2" w14:textId="77777777" w:rsidR="00F413BE" w:rsidRPr="00F413BE" w:rsidRDefault="00F413BE" w:rsidP="00F413BE">
      <w:pPr>
        <w:kinsoku w:val="0"/>
        <w:overflowPunct w:val="0"/>
        <w:spacing w:after="0" w:line="360" w:lineRule="auto"/>
        <w:jc w:val="both"/>
        <w:textAlignment w:val="baseline"/>
        <w:rPr>
          <w:rFonts w:ascii="Arial" w:eastAsia="Times New Roman" w:hAnsi="Arial" w:cs="Arial"/>
          <w:b/>
          <w:sz w:val="20"/>
          <w:szCs w:val="20"/>
          <w:lang w:eastAsia="pl-PL"/>
        </w:rPr>
      </w:pPr>
      <w:r w:rsidRPr="00F413BE">
        <w:rPr>
          <w:rFonts w:ascii="Arial" w:eastAsia="Times New Roman" w:hAnsi="Arial" w:cs="Arial"/>
          <w:b/>
          <w:sz w:val="20"/>
          <w:szCs w:val="20"/>
          <w:lang w:eastAsia="pl-PL"/>
        </w:rPr>
        <w:t>Instrukcja</w:t>
      </w:r>
    </w:p>
    <w:p w14:paraId="01B50CEB" w14:textId="77777777" w:rsidR="00F413BE" w:rsidRPr="00F413BE" w:rsidRDefault="00F413BE" w:rsidP="00F413BE">
      <w:pPr>
        <w:kinsoku w:val="0"/>
        <w:overflowPunct w:val="0"/>
        <w:spacing w:after="0" w:line="360" w:lineRule="auto"/>
        <w:jc w:val="both"/>
        <w:textAlignment w:val="baseline"/>
        <w:rPr>
          <w:rFonts w:ascii="Arial" w:eastAsia="Times New Roman" w:hAnsi="Arial" w:cs="Arial"/>
          <w:b/>
          <w:bCs/>
          <w:sz w:val="20"/>
          <w:szCs w:val="20"/>
          <w:lang w:eastAsia="pl-PL"/>
        </w:rPr>
      </w:pPr>
      <w:r w:rsidRPr="00F413BE">
        <w:rPr>
          <w:rFonts w:ascii="Arial" w:eastAsia="Times New Roman" w:hAnsi="Arial" w:cs="Arial"/>
          <w:b/>
          <w:bCs/>
          <w:sz w:val="20"/>
          <w:szCs w:val="20"/>
          <w:lang w:eastAsia="pl-PL"/>
        </w:rPr>
        <w:t xml:space="preserve">Jak zaliczyć do kosztów bilety na mecz, koncerty, wydarzenia kulturalne dla kontrahentów? </w:t>
      </w:r>
    </w:p>
    <w:p w14:paraId="19BD352B" w14:textId="77777777" w:rsidR="00F413BE" w:rsidRPr="00F413BE" w:rsidRDefault="00F413BE" w:rsidP="00F413BE">
      <w:pPr>
        <w:spacing w:after="0" w:line="360" w:lineRule="auto"/>
        <w:jc w:val="both"/>
        <w:rPr>
          <w:rFonts w:ascii="Arial" w:hAnsi="Arial" w:cs="Arial"/>
          <w:sz w:val="20"/>
          <w:szCs w:val="20"/>
        </w:rPr>
      </w:pPr>
      <w:r w:rsidRPr="00F413BE">
        <w:rPr>
          <w:rFonts w:ascii="Arial" w:hAnsi="Arial" w:cs="Arial"/>
          <w:sz w:val="20"/>
          <w:szCs w:val="20"/>
        </w:rPr>
        <w:t>Luiza Pieprzyk</w:t>
      </w:r>
    </w:p>
    <w:p w14:paraId="0AAD6308" w14:textId="77777777" w:rsidR="00F413BE" w:rsidRPr="00F413BE" w:rsidRDefault="00F413BE" w:rsidP="00F413BE">
      <w:pPr>
        <w:spacing w:after="0" w:line="360" w:lineRule="auto"/>
        <w:contextualSpacing/>
        <w:jc w:val="both"/>
        <w:rPr>
          <w:rFonts w:ascii="Arial" w:eastAsia="Times New Roman" w:hAnsi="Arial" w:cs="Arial"/>
          <w:b/>
          <w:color w:val="FF0000"/>
          <w:sz w:val="20"/>
          <w:szCs w:val="20"/>
          <w:lang w:eastAsia="pl-PL"/>
        </w:rPr>
      </w:pPr>
    </w:p>
    <w:p w14:paraId="38BCDB0F" w14:textId="77777777" w:rsidR="00F413BE" w:rsidRPr="00F413BE" w:rsidRDefault="00F413BE" w:rsidP="00F413BE">
      <w:pPr>
        <w:spacing w:before="100" w:beforeAutospacing="1" w:after="0" w:line="360" w:lineRule="auto"/>
        <w:contextualSpacing/>
        <w:jc w:val="both"/>
        <w:rPr>
          <w:rFonts w:ascii="Arial" w:hAnsi="Arial" w:cs="Arial"/>
          <w:sz w:val="20"/>
          <w:szCs w:val="20"/>
        </w:rPr>
      </w:pPr>
      <w:r w:rsidRPr="00F413BE">
        <w:rPr>
          <w:rFonts w:ascii="Arial" w:hAnsi="Arial" w:cs="Arial"/>
          <w:sz w:val="20"/>
          <w:szCs w:val="20"/>
        </w:rPr>
        <w:t>Czy zakup biletów dla kontrahentów i pracowników na wydarzenia sportowe stanowi koszt uzyskania przychodu? Często w ramach zacieśniania więzów pomiędzy kontrahentami strony decydują się na zakupy biletów dla klientów na ważne wydarzenia sportowe lub artystyczne (koncert, sztuki teatralne). Jak potraktować takie przekazanie?</w:t>
      </w:r>
    </w:p>
    <w:p w14:paraId="402CAE48" w14:textId="77777777" w:rsidR="00F413BE" w:rsidRPr="00F413BE" w:rsidRDefault="00F413BE" w:rsidP="00F413BE">
      <w:pPr>
        <w:spacing w:before="100" w:beforeAutospacing="1" w:after="0" w:line="360" w:lineRule="auto"/>
        <w:contextualSpacing/>
        <w:jc w:val="both"/>
        <w:rPr>
          <w:rFonts w:ascii="Arial" w:hAnsi="Arial" w:cs="Arial"/>
          <w:sz w:val="20"/>
          <w:szCs w:val="20"/>
        </w:rPr>
      </w:pPr>
    </w:p>
    <w:p w14:paraId="0D26E636" w14:textId="77777777" w:rsidR="00F413BE" w:rsidRPr="00F413BE" w:rsidRDefault="00F413BE" w:rsidP="00F413BE">
      <w:pPr>
        <w:spacing w:before="100" w:beforeAutospacing="1" w:after="0" w:line="360" w:lineRule="auto"/>
        <w:contextualSpacing/>
        <w:jc w:val="both"/>
        <w:rPr>
          <w:rFonts w:ascii="Arial" w:hAnsi="Arial" w:cs="Arial"/>
          <w:sz w:val="20"/>
          <w:szCs w:val="20"/>
        </w:rPr>
      </w:pPr>
      <w:r w:rsidRPr="00F413BE">
        <w:rPr>
          <w:rFonts w:ascii="Arial" w:hAnsi="Arial" w:cs="Arial"/>
          <w:sz w:val="20"/>
          <w:szCs w:val="20"/>
        </w:rPr>
        <w:t xml:space="preserve">Zgodnie z zasadami wynikającymi z przepisów prawa i analizy ogólnodostępnych interpretacji podatkowych wydatki na zakup biletów na zawody sportowe (np. na puchar świata w skokach narciarskich) dla kontrahentów nie stanowią, jako koszty reprezentacji, kosztów uzyskania przychodów spółki z o.o. Koszty uzyskania przychodu stanowią natomiast, jako koszty pracownicze, wydatki na zakup tych biletów dla pracowników. Spółka może odliczyć podatek naliczony przy zakupie biletów dla kontrahentów (zakładając, że prowadzi działalność opodatkowaną). Jeśli chodzi o odliczenie podatku VAT naliczonego przy zakupie biletów dla pracowników, zależy to od przyjęcia jednego z dwóch stanowisk. Jeśli uzna się, że jest to zakup związany ze sprzedażą opodatkowaną, to przepisy podatku VAT dają prawo do odliczenia podatku naliczonego przy ich zakupie (stanowisko takie zdają się reprezentować organy podatkowe). </w:t>
      </w:r>
    </w:p>
    <w:p w14:paraId="285A683B" w14:textId="77777777" w:rsidR="00F413BE" w:rsidRPr="00F413BE" w:rsidRDefault="00F413BE" w:rsidP="00F413BE">
      <w:pPr>
        <w:spacing w:before="100" w:beforeAutospacing="1" w:after="0" w:line="360" w:lineRule="auto"/>
        <w:contextualSpacing/>
        <w:jc w:val="both"/>
        <w:rPr>
          <w:rFonts w:ascii="Arial" w:hAnsi="Arial" w:cs="Arial"/>
          <w:sz w:val="20"/>
          <w:szCs w:val="20"/>
        </w:rPr>
      </w:pPr>
    </w:p>
    <w:p w14:paraId="2F5D6545" w14:textId="77777777" w:rsidR="00F413BE" w:rsidRPr="00F413BE" w:rsidRDefault="00F413BE" w:rsidP="00F413BE">
      <w:pPr>
        <w:spacing w:before="100" w:beforeAutospacing="1" w:after="0" w:line="360" w:lineRule="auto"/>
        <w:contextualSpacing/>
        <w:jc w:val="both"/>
        <w:rPr>
          <w:rFonts w:ascii="Arial" w:hAnsi="Arial" w:cs="Arial"/>
          <w:b/>
          <w:sz w:val="20"/>
          <w:szCs w:val="20"/>
        </w:rPr>
      </w:pPr>
      <w:r w:rsidRPr="00F413BE">
        <w:rPr>
          <w:rFonts w:ascii="Arial" w:hAnsi="Arial" w:cs="Arial"/>
          <w:b/>
          <w:sz w:val="20"/>
          <w:szCs w:val="20"/>
        </w:rPr>
        <w:t xml:space="preserve">Pułapka i pomysł jednocześnie </w:t>
      </w:r>
    </w:p>
    <w:p w14:paraId="2D02C6A2" w14:textId="77777777" w:rsidR="00F413BE" w:rsidRPr="00F413BE" w:rsidRDefault="00F413BE" w:rsidP="00F413BE">
      <w:pPr>
        <w:spacing w:before="100" w:beforeAutospacing="1" w:after="0" w:line="360" w:lineRule="auto"/>
        <w:contextualSpacing/>
        <w:jc w:val="both"/>
        <w:rPr>
          <w:rFonts w:ascii="Arial" w:hAnsi="Arial" w:cs="Arial"/>
          <w:sz w:val="20"/>
          <w:szCs w:val="20"/>
        </w:rPr>
      </w:pPr>
      <w:r w:rsidRPr="00F413BE">
        <w:rPr>
          <w:rFonts w:ascii="Arial" w:hAnsi="Arial" w:cs="Arial"/>
          <w:sz w:val="20"/>
          <w:szCs w:val="20"/>
        </w:rPr>
        <w:t xml:space="preserve">Jest tutaj jedno DUŻE ALE – jeśli odliczysz, to musisz opodatkować na podstawie art. 8 ust. 2 ustawy o VAT. Jedynym sposobem na brak opodatkowania </w:t>
      </w:r>
      <w:r w:rsidRPr="00F413BE">
        <w:rPr>
          <w:rFonts w:ascii="Arial" w:hAnsi="Arial" w:cs="Arial"/>
          <w:b/>
          <w:sz w:val="20"/>
          <w:szCs w:val="20"/>
        </w:rPr>
        <w:t>bezpośrednio</w:t>
      </w:r>
      <w:r w:rsidRPr="00F413BE">
        <w:rPr>
          <w:rFonts w:ascii="Arial" w:hAnsi="Arial" w:cs="Arial"/>
          <w:sz w:val="20"/>
          <w:szCs w:val="20"/>
        </w:rPr>
        <w:t xml:space="preserve"> takich biletów przekazywanych kontrahentom jest świadczenie kompleksowe. Jeśli dany bilet czy to na wydarzenie sportowe, czy artystyczno-kulturalne jest elementem kalkulacyjnym ceny jakiejś usługi, wydarzenia kompleksowego (np. konferencja, szklenie, event), to samodzielne opodatkowanie tego biletu nie występuje.</w:t>
      </w:r>
    </w:p>
    <w:p w14:paraId="5E8B0207" w14:textId="77777777" w:rsidR="00F413BE" w:rsidRPr="00F413BE" w:rsidRDefault="00F413BE" w:rsidP="00F413BE">
      <w:pPr>
        <w:spacing w:before="100" w:beforeAutospacing="1" w:after="0" w:line="360" w:lineRule="auto"/>
        <w:contextualSpacing/>
        <w:jc w:val="both"/>
        <w:rPr>
          <w:rFonts w:ascii="Arial" w:hAnsi="Arial" w:cs="Arial"/>
          <w:sz w:val="20"/>
          <w:szCs w:val="20"/>
        </w:rPr>
      </w:pPr>
    </w:p>
    <w:p w14:paraId="15D9A3D5" w14:textId="77777777" w:rsidR="00F413BE" w:rsidRPr="00F413BE" w:rsidRDefault="00F413BE" w:rsidP="00F413BE">
      <w:pPr>
        <w:spacing w:before="100" w:beforeAutospacing="1" w:after="0" w:line="360" w:lineRule="auto"/>
        <w:contextualSpacing/>
        <w:jc w:val="both"/>
        <w:rPr>
          <w:rFonts w:ascii="Arial" w:hAnsi="Arial" w:cs="Arial"/>
          <w:sz w:val="20"/>
          <w:szCs w:val="20"/>
        </w:rPr>
      </w:pPr>
      <w:r w:rsidRPr="00F413BE">
        <w:rPr>
          <w:rFonts w:ascii="Arial" w:hAnsi="Arial" w:cs="Arial"/>
          <w:b/>
          <w:sz w:val="20"/>
          <w:szCs w:val="20"/>
        </w:rPr>
        <w:t>Uwaga!</w:t>
      </w:r>
      <w:r w:rsidRPr="00F413BE">
        <w:rPr>
          <w:rFonts w:ascii="Arial" w:hAnsi="Arial" w:cs="Arial"/>
          <w:sz w:val="20"/>
          <w:szCs w:val="20"/>
        </w:rPr>
        <w:t xml:space="preserve"> </w:t>
      </w:r>
    </w:p>
    <w:p w14:paraId="596EDB53" w14:textId="77777777" w:rsidR="00F413BE" w:rsidRPr="00F413BE" w:rsidRDefault="00F413BE" w:rsidP="00F413BE">
      <w:pPr>
        <w:spacing w:before="100" w:beforeAutospacing="1" w:after="0" w:line="360" w:lineRule="auto"/>
        <w:contextualSpacing/>
        <w:jc w:val="both"/>
        <w:rPr>
          <w:rFonts w:ascii="Arial" w:hAnsi="Arial" w:cs="Arial"/>
          <w:sz w:val="20"/>
          <w:szCs w:val="20"/>
        </w:rPr>
      </w:pPr>
      <w:r w:rsidRPr="00F413BE">
        <w:rPr>
          <w:rFonts w:ascii="Arial" w:hAnsi="Arial" w:cs="Arial"/>
          <w:sz w:val="20"/>
          <w:szCs w:val="20"/>
        </w:rPr>
        <w:t xml:space="preserve">Sprawa jest na tyle skomplikowana i dość delikatna prawnie, podatkowo oraz mentalnie, że w mojej ocenie wymaga konsultacji ze specjalistami w konkretnych sytuacjach, które wystąpiły w firmie. </w:t>
      </w:r>
    </w:p>
    <w:p w14:paraId="0CE0DACB" w14:textId="77777777" w:rsidR="00F413BE" w:rsidRPr="00F413BE" w:rsidRDefault="00F413BE" w:rsidP="00F413BE">
      <w:pPr>
        <w:spacing w:before="100" w:beforeAutospacing="1" w:after="0" w:line="360" w:lineRule="auto"/>
        <w:contextualSpacing/>
        <w:jc w:val="both"/>
        <w:rPr>
          <w:rFonts w:ascii="Arial" w:hAnsi="Arial" w:cs="Arial"/>
          <w:b/>
          <w:sz w:val="20"/>
          <w:szCs w:val="20"/>
        </w:rPr>
      </w:pPr>
    </w:p>
    <w:p w14:paraId="293656D8" w14:textId="77777777" w:rsidR="00F413BE" w:rsidRPr="00F413BE" w:rsidRDefault="00F413BE" w:rsidP="00F413BE">
      <w:pPr>
        <w:spacing w:after="0" w:line="360" w:lineRule="auto"/>
        <w:jc w:val="both"/>
        <w:rPr>
          <w:rFonts w:ascii="Arial" w:hAnsi="Arial" w:cs="Arial"/>
          <w:sz w:val="20"/>
          <w:szCs w:val="20"/>
          <w:lang w:eastAsia="pl-PL"/>
        </w:rPr>
      </w:pPr>
      <w:r w:rsidRPr="00F413BE">
        <w:rPr>
          <w:rFonts w:ascii="Arial" w:hAnsi="Arial" w:cs="Arial"/>
          <w:sz w:val="20"/>
          <w:szCs w:val="20"/>
        </w:rPr>
        <w:t xml:space="preserve">Ciekawe podejście prezentuje interpretacja Dyrektora KIS </w:t>
      </w:r>
      <w:r w:rsidRPr="00F413BE">
        <w:rPr>
          <w:rFonts w:ascii="Arial" w:hAnsi="Arial" w:cs="Arial"/>
          <w:sz w:val="20"/>
          <w:szCs w:val="20"/>
          <w:lang w:eastAsia="pl-PL"/>
        </w:rPr>
        <w:t>z dnia 13 czerwca 2023 r., omawiająca</w:t>
      </w:r>
      <w:r w:rsidRPr="00F413BE">
        <w:rPr>
          <w:rFonts w:ascii="Arial" w:hAnsi="Arial" w:cs="Arial"/>
          <w:sz w:val="20"/>
          <w:szCs w:val="20"/>
        </w:rPr>
        <w:t>:</w:t>
      </w:r>
      <w:r w:rsidRPr="00F413BE">
        <w:rPr>
          <w:rFonts w:ascii="Arial" w:hAnsi="Arial" w:cs="Arial"/>
          <w:sz w:val="20"/>
          <w:szCs w:val="20"/>
          <w:lang w:eastAsia="pl-PL"/>
        </w:rPr>
        <w:t xml:space="preserve"> kwestie zaliczenia do kosztów uzyskania przychodów wydatków ponoszonych przez spółkę na wspólne: lunch lub kolację, wyjście na biletowane wydarzenie kulturalne/rozrywkowe/sportowe, strzelnicę, kręgle, gokarty, lot szybowcem, zakup biletów na wydarzenie kulturalne/rozrywkowe/sportowe, które wręczane są jako prezenty partnerom biznesowym oraz klientom. </w:t>
      </w:r>
    </w:p>
    <w:p w14:paraId="24AE5FAE" w14:textId="77777777" w:rsidR="00F413BE" w:rsidRPr="00F413BE" w:rsidRDefault="00F413BE" w:rsidP="00F413BE">
      <w:pPr>
        <w:spacing w:after="0" w:line="360" w:lineRule="auto"/>
        <w:jc w:val="both"/>
        <w:rPr>
          <w:lang w:eastAsia="pl-PL"/>
        </w:rPr>
      </w:pPr>
      <w:r w:rsidRPr="00F413BE">
        <w:rPr>
          <w:rFonts w:ascii="Arial" w:hAnsi="Arial" w:cs="Arial"/>
          <w:sz w:val="20"/>
          <w:szCs w:val="20"/>
          <w:lang w:eastAsia="pl-PL"/>
        </w:rPr>
        <w:t>Warto je wykorzystać</w:t>
      </w:r>
      <w:r w:rsidRPr="00F413BE">
        <w:rPr>
          <w:lang w:eastAsia="pl-PL"/>
        </w:rPr>
        <w:t xml:space="preserve"> </w:t>
      </w:r>
      <w:r w:rsidRPr="00F413BE">
        <w:rPr>
          <w:rFonts w:ascii="Arial" w:hAnsi="Arial" w:cs="Arial"/>
          <w:sz w:val="20"/>
          <w:szCs w:val="20"/>
          <w:lang w:eastAsia="pl-PL"/>
        </w:rPr>
        <w:t>w argumentacji w celu przekonania fiskusa do swojego stanowiska.</w:t>
      </w:r>
    </w:p>
    <w:p w14:paraId="50996D6D" w14:textId="77777777" w:rsidR="00F413BE" w:rsidRPr="00F413BE" w:rsidRDefault="00F413BE" w:rsidP="00F413BE">
      <w:pPr>
        <w:spacing w:after="0" w:line="360" w:lineRule="auto"/>
        <w:jc w:val="both"/>
        <w:rPr>
          <w:rFonts w:ascii="Arial" w:eastAsia="Times New Roman" w:hAnsi="Arial" w:cs="Arial"/>
          <w:sz w:val="20"/>
          <w:szCs w:val="20"/>
          <w:lang w:eastAsia="pl-PL"/>
        </w:rPr>
      </w:pPr>
      <w:r w:rsidRPr="00F413BE">
        <w:rPr>
          <w:rFonts w:ascii="Arial" w:eastAsia="Times New Roman" w:hAnsi="Arial" w:cs="Arial"/>
          <w:sz w:val="20"/>
          <w:szCs w:val="20"/>
          <w:lang w:eastAsia="pl-PL"/>
        </w:rPr>
        <w:t>Przedsiębiorca złożył zapytanie w zakresie możliwości zaliczenia do kosztów uzyskania przychodów wydatków ponoszonych przez spółkę na:</w:t>
      </w:r>
    </w:p>
    <w:p w14:paraId="2907D8EC" w14:textId="77777777" w:rsidR="00F413BE" w:rsidRPr="00F413BE" w:rsidRDefault="00F413BE" w:rsidP="00F413BE">
      <w:pPr>
        <w:numPr>
          <w:ilvl w:val="0"/>
          <w:numId w:val="33"/>
        </w:numPr>
        <w:spacing w:after="0" w:line="360" w:lineRule="auto"/>
        <w:ind w:left="567" w:hanging="283"/>
        <w:contextualSpacing/>
        <w:jc w:val="both"/>
        <w:rPr>
          <w:rFonts w:ascii="Arial" w:eastAsia="Times New Roman" w:hAnsi="Arial" w:cs="Arial"/>
          <w:sz w:val="20"/>
          <w:szCs w:val="20"/>
          <w:lang w:eastAsia="pl-PL"/>
        </w:rPr>
      </w:pPr>
      <w:r w:rsidRPr="00F413BE">
        <w:rPr>
          <w:rFonts w:ascii="Arial" w:eastAsia="Times New Roman" w:hAnsi="Arial" w:cs="Arial"/>
          <w:sz w:val="20"/>
          <w:szCs w:val="20"/>
          <w:lang w:eastAsia="pl-PL"/>
        </w:rPr>
        <w:t>wspólny lunch lub kolację,</w:t>
      </w:r>
    </w:p>
    <w:p w14:paraId="2D19A5E9" w14:textId="77777777" w:rsidR="00F413BE" w:rsidRPr="00F413BE" w:rsidRDefault="00F413BE" w:rsidP="00F413BE">
      <w:pPr>
        <w:numPr>
          <w:ilvl w:val="0"/>
          <w:numId w:val="33"/>
        </w:numPr>
        <w:spacing w:after="0" w:line="360" w:lineRule="auto"/>
        <w:ind w:left="567" w:hanging="283"/>
        <w:contextualSpacing/>
        <w:jc w:val="both"/>
        <w:rPr>
          <w:rFonts w:ascii="Arial" w:eastAsia="Times New Roman" w:hAnsi="Arial" w:cs="Arial"/>
          <w:sz w:val="20"/>
          <w:szCs w:val="20"/>
          <w:lang w:eastAsia="pl-PL"/>
        </w:rPr>
      </w:pPr>
      <w:r w:rsidRPr="00F413BE">
        <w:rPr>
          <w:rFonts w:ascii="Arial" w:eastAsia="Times New Roman" w:hAnsi="Arial" w:cs="Arial"/>
          <w:sz w:val="20"/>
          <w:szCs w:val="20"/>
          <w:lang w:eastAsia="pl-PL"/>
        </w:rPr>
        <w:lastRenderedPageBreak/>
        <w:t>wspólne wyjście na biletowane wydarzenie kulturalne/rozrywkowe/sportowe, wspólne wyjście na strzelnicę, kręgle, gokarty, lot szybowcem,</w:t>
      </w:r>
    </w:p>
    <w:p w14:paraId="4BFE9CC2" w14:textId="77777777" w:rsidR="00F413BE" w:rsidRPr="00F413BE" w:rsidRDefault="00F413BE" w:rsidP="00F413BE">
      <w:pPr>
        <w:numPr>
          <w:ilvl w:val="0"/>
          <w:numId w:val="33"/>
        </w:numPr>
        <w:spacing w:after="0" w:line="360" w:lineRule="auto"/>
        <w:ind w:left="567" w:hanging="283"/>
        <w:contextualSpacing/>
        <w:jc w:val="both"/>
        <w:rPr>
          <w:rFonts w:ascii="Arial" w:eastAsia="Times New Roman" w:hAnsi="Arial" w:cs="Arial"/>
          <w:sz w:val="20"/>
          <w:szCs w:val="20"/>
          <w:lang w:eastAsia="pl-PL"/>
        </w:rPr>
      </w:pPr>
      <w:r w:rsidRPr="00F413BE">
        <w:rPr>
          <w:rFonts w:ascii="Arial" w:eastAsia="Times New Roman" w:hAnsi="Arial" w:cs="Arial"/>
          <w:sz w:val="20"/>
          <w:szCs w:val="20"/>
          <w:lang w:eastAsia="pl-PL"/>
        </w:rPr>
        <w:t>zakup biletów na wydarzenie kulturalne/rozrywkowe/sportowe, które wręczane są jako prezenty partnerom biznesowym oraz klientom.</w:t>
      </w:r>
    </w:p>
    <w:p w14:paraId="01D09266" w14:textId="77777777" w:rsidR="00F413BE" w:rsidRPr="00F413BE" w:rsidRDefault="00F413BE" w:rsidP="00F413BE">
      <w:pPr>
        <w:spacing w:after="0" w:line="360" w:lineRule="auto"/>
        <w:jc w:val="both"/>
        <w:rPr>
          <w:rFonts w:ascii="Arial" w:hAnsi="Arial" w:cs="Arial"/>
          <w:sz w:val="20"/>
          <w:szCs w:val="20"/>
          <w:lang w:eastAsia="pl-PL"/>
        </w:rPr>
      </w:pPr>
      <w:r w:rsidRPr="00F413BE">
        <w:rPr>
          <w:rFonts w:ascii="Arial" w:hAnsi="Arial" w:cs="Arial"/>
          <w:sz w:val="20"/>
          <w:szCs w:val="20"/>
        </w:rPr>
        <w:t>W związku z zamiarem wspierania (i zwiększania) sprzedaży produktów i towarów spółka podejmuje szereg działań mających na celu zaangażowanie we współpracę nowych partnerów biznesowych (z obszarów: projektowanie, wykonawstwo/wprowadzanie nowych rozwiązań, handel), utrzymanie relacji z obecnymi partnerami biznesowymi, jak też utrzymywanie relacji z obecnymi klientami i pozyskiwanie nowych klientów.</w:t>
      </w:r>
      <w:r w:rsidRPr="00F413BE">
        <w:rPr>
          <w:rFonts w:ascii="Arial" w:hAnsi="Arial" w:cs="Arial"/>
          <w:sz w:val="20"/>
          <w:szCs w:val="20"/>
          <w:lang w:eastAsia="pl-PL"/>
        </w:rPr>
        <w:t xml:space="preserve"> </w:t>
      </w:r>
      <w:r w:rsidRPr="00F413BE">
        <w:rPr>
          <w:rFonts w:ascii="Arial" w:eastAsia="Times New Roman" w:hAnsi="Arial" w:cs="Arial"/>
          <w:sz w:val="20"/>
          <w:szCs w:val="20"/>
          <w:lang w:eastAsia="pl-PL"/>
        </w:rPr>
        <w:t>Jednym z podejmowanych przez spółkę działań mających na celu zaangażowanie we współpracę nowych partnerów biznesowych jest organizacja wspólnych spotkań dla przedstawicieli handlowych współpracujących ze spółką oraz osób współpracujących z biurami konstrukcyjnymi czy też hurtowniami. W spotkaniach tych udział biorą także pracownicy spółki.</w:t>
      </w:r>
      <w:r w:rsidRPr="00F413BE">
        <w:rPr>
          <w:rFonts w:ascii="Arial" w:hAnsi="Arial" w:cs="Arial"/>
          <w:sz w:val="20"/>
          <w:szCs w:val="20"/>
          <w:lang w:eastAsia="pl-PL"/>
        </w:rPr>
        <w:t xml:space="preserve"> </w:t>
      </w:r>
      <w:r w:rsidRPr="00F413BE">
        <w:rPr>
          <w:rFonts w:ascii="Arial" w:eastAsia="Times New Roman" w:hAnsi="Arial" w:cs="Arial"/>
          <w:sz w:val="20"/>
          <w:szCs w:val="20"/>
          <w:lang w:eastAsia="pl-PL"/>
        </w:rPr>
        <w:t>W ramach spotkań odbywają się szkolenia (produktowe i techniczne) i pokaz produktów lub ich montażu (pokazy nie odbywają się zawsze – tylko wraz ze szkoleniami dla wykonawców). W celu urozmaicenia szkolenia oraz zacieśnienia relacji pracowników i nowych partnerów biznesowych w ramach spotkań spółka każdorazowo organizuje czas uczestnikom, kiedy to w swobodniejszy sposób mogą porozmawiać o biznesie, zacieśnić współpracę oraz zbudować pozytywne relacje. Powyższe odbywa się poprzez wspólny posiłek, wspólne wyjście na wydarzenie kulturalne/rozrywkowe/sportowe, wspólne wyjścia na strzelnicę, kręgle, gokarty, lot szybowcem itp.</w:t>
      </w:r>
      <w:r w:rsidRPr="00F413BE">
        <w:rPr>
          <w:rFonts w:ascii="Arial" w:hAnsi="Arial" w:cs="Arial"/>
          <w:sz w:val="20"/>
          <w:szCs w:val="20"/>
          <w:lang w:eastAsia="pl-PL"/>
        </w:rPr>
        <w:t xml:space="preserve"> </w:t>
      </w:r>
      <w:r w:rsidRPr="00F413BE">
        <w:rPr>
          <w:rFonts w:ascii="Arial" w:hAnsi="Arial" w:cs="Arial"/>
          <w:sz w:val="20"/>
          <w:szCs w:val="20"/>
        </w:rPr>
        <w:t>Szkolenie w części teoretycznej najczęściej jest prezentacją multimedialną (rzutnik/ekran). Wnioskodawca organizuje je dla grona kilkunastu lub kilkudziesięciu osób w wynajętej sali/hotelu/restauracji lub ewentualnie w jednym z biur. Szkolenia odbywają się w celu cyklicznego projektowania systemu spółki do projektów bazowych wykonywanych przez zewnętrzne biura projektowe, z którymi spółka zawarła umowy lub z którymi chce nawiązać współpracę. Celem takich szkoleń jest przede wszystkim przekazanie informacji technicznych/wykonawczych/handlowych oraz nawiązanie relacji biznesowych na polu współpracy projektowej/wykonawczej/handlowej z nowymi partnerami biznesowymi lub zacieśnienie relacji z pracownikami i obecnymi partnerami biznesowymi.</w:t>
      </w:r>
      <w:r w:rsidRPr="00F413BE">
        <w:rPr>
          <w:rFonts w:ascii="Arial" w:hAnsi="Arial" w:cs="Arial"/>
          <w:sz w:val="20"/>
          <w:szCs w:val="20"/>
          <w:lang w:eastAsia="pl-PL"/>
        </w:rPr>
        <w:t xml:space="preserve"> </w:t>
      </w:r>
      <w:r w:rsidRPr="00F413BE">
        <w:rPr>
          <w:rFonts w:ascii="Arial" w:hAnsi="Arial" w:cs="Arial"/>
          <w:sz w:val="20"/>
          <w:szCs w:val="20"/>
        </w:rPr>
        <w:t xml:space="preserve">Wniosek opisuje bardzo szczegółowo wszelkie cele szkoleniowe: dla projektantów/biur projektowych, dla dystrybutorów. </w:t>
      </w:r>
    </w:p>
    <w:p w14:paraId="398D1751" w14:textId="77777777" w:rsidR="00F413BE" w:rsidRPr="00F413BE" w:rsidRDefault="00F413BE" w:rsidP="00F413BE">
      <w:pPr>
        <w:spacing w:after="0" w:line="360" w:lineRule="auto"/>
        <w:contextualSpacing/>
        <w:jc w:val="both"/>
        <w:rPr>
          <w:rFonts w:ascii="Arial" w:hAnsi="Arial" w:cs="Arial"/>
          <w:b/>
          <w:sz w:val="20"/>
          <w:szCs w:val="20"/>
        </w:rPr>
      </w:pPr>
    </w:p>
    <w:p w14:paraId="74C4441C" w14:textId="77777777" w:rsidR="00F413BE" w:rsidRPr="00F413BE" w:rsidRDefault="00F413BE" w:rsidP="00F413BE">
      <w:pPr>
        <w:spacing w:before="100" w:beforeAutospacing="1" w:after="0" w:line="360" w:lineRule="auto"/>
        <w:contextualSpacing/>
        <w:jc w:val="both"/>
        <w:rPr>
          <w:rFonts w:ascii="Arial" w:hAnsi="Arial" w:cs="Arial"/>
          <w:b/>
          <w:sz w:val="20"/>
          <w:szCs w:val="20"/>
        </w:rPr>
      </w:pPr>
      <w:r w:rsidRPr="00F413BE">
        <w:rPr>
          <w:rFonts w:ascii="Arial" w:hAnsi="Arial" w:cs="Arial"/>
          <w:b/>
          <w:sz w:val="20"/>
          <w:szCs w:val="20"/>
        </w:rPr>
        <w:t>Argumenty spółki</w:t>
      </w:r>
    </w:p>
    <w:p w14:paraId="2875D42B" w14:textId="77777777" w:rsidR="00F413BE" w:rsidRPr="00F413BE" w:rsidRDefault="00F413BE" w:rsidP="00F413BE">
      <w:pPr>
        <w:spacing w:before="100" w:beforeAutospacing="1" w:after="0" w:line="360" w:lineRule="auto"/>
        <w:contextualSpacing/>
        <w:jc w:val="both"/>
        <w:rPr>
          <w:rFonts w:ascii="Arial" w:hAnsi="Arial" w:cs="Arial"/>
          <w:sz w:val="20"/>
          <w:szCs w:val="20"/>
        </w:rPr>
      </w:pPr>
      <w:r w:rsidRPr="00F413BE">
        <w:rPr>
          <w:rFonts w:ascii="Arial" w:hAnsi="Arial" w:cs="Arial"/>
          <w:sz w:val="20"/>
          <w:szCs w:val="20"/>
        </w:rPr>
        <w:t>Podstawowym celem biznesowym organizowanych spotkań i budowanych na nich relacji jest zatem zaangażowanie we współpracę ze spółką nowych lub aktualnych partnerów (projektowanie, wykonawstwo/zamiana innych rozwiązań, handel), co z kolei ma wpływ na korzyści biznesowe (wzrost sprzedaży) oraz korzyści marketingowe (wzrost rozpoznawalności produktów oraz marki firmy).</w:t>
      </w:r>
    </w:p>
    <w:p w14:paraId="4B5941F9" w14:textId="77777777" w:rsidR="00F413BE" w:rsidRPr="00F413BE" w:rsidRDefault="00F413BE" w:rsidP="00F413BE">
      <w:pPr>
        <w:spacing w:before="100" w:beforeAutospacing="1" w:after="0" w:line="360" w:lineRule="auto"/>
        <w:contextualSpacing/>
        <w:jc w:val="both"/>
        <w:rPr>
          <w:rFonts w:ascii="Arial" w:hAnsi="Arial" w:cs="Arial"/>
          <w:sz w:val="20"/>
          <w:szCs w:val="20"/>
        </w:rPr>
      </w:pPr>
    </w:p>
    <w:p w14:paraId="3A44CAD1" w14:textId="77777777" w:rsidR="00F413BE" w:rsidRPr="00F413BE" w:rsidRDefault="00F413BE" w:rsidP="00F413BE">
      <w:pPr>
        <w:spacing w:before="100" w:beforeAutospacing="1" w:after="0" w:line="360" w:lineRule="auto"/>
        <w:contextualSpacing/>
        <w:jc w:val="both"/>
        <w:rPr>
          <w:rFonts w:ascii="Arial" w:hAnsi="Arial" w:cs="Arial"/>
          <w:b/>
          <w:sz w:val="20"/>
          <w:szCs w:val="20"/>
        </w:rPr>
      </w:pPr>
      <w:r w:rsidRPr="00F413BE">
        <w:rPr>
          <w:rFonts w:ascii="Arial" w:hAnsi="Arial" w:cs="Arial"/>
          <w:b/>
          <w:sz w:val="20"/>
          <w:szCs w:val="20"/>
        </w:rPr>
        <w:t>Ważne!</w:t>
      </w:r>
    </w:p>
    <w:p w14:paraId="7C259A33" w14:textId="77777777" w:rsidR="00F413BE" w:rsidRPr="00F413BE" w:rsidRDefault="00F413BE" w:rsidP="00F413BE">
      <w:pPr>
        <w:spacing w:before="100" w:beforeAutospacing="1" w:after="0" w:line="360" w:lineRule="auto"/>
        <w:contextualSpacing/>
        <w:jc w:val="both"/>
        <w:rPr>
          <w:rFonts w:ascii="Arial" w:hAnsi="Arial" w:cs="Arial"/>
          <w:sz w:val="20"/>
          <w:szCs w:val="20"/>
        </w:rPr>
      </w:pPr>
      <w:r w:rsidRPr="00F413BE">
        <w:rPr>
          <w:rFonts w:ascii="Arial" w:hAnsi="Arial" w:cs="Arial"/>
          <w:sz w:val="20"/>
          <w:szCs w:val="20"/>
        </w:rPr>
        <w:t>Drugim z podejmowanych przez spółkę działań jest wręczanie partnerom biznesowym oraz klientom biletów na wydarzenia kulturalne/rozrywkowe/sportowe jako prezentów.</w:t>
      </w:r>
    </w:p>
    <w:p w14:paraId="49999468" w14:textId="77777777" w:rsidR="00F413BE" w:rsidRPr="00F413BE" w:rsidRDefault="00F413BE" w:rsidP="00F413BE">
      <w:pPr>
        <w:spacing w:after="0" w:line="360" w:lineRule="auto"/>
        <w:jc w:val="both"/>
        <w:rPr>
          <w:rFonts w:ascii="Arial" w:eastAsia="Times New Roman" w:hAnsi="Arial" w:cs="Arial"/>
          <w:sz w:val="20"/>
          <w:szCs w:val="20"/>
          <w:lang w:eastAsia="pl-PL"/>
        </w:rPr>
      </w:pPr>
      <w:r w:rsidRPr="00F413BE">
        <w:rPr>
          <w:rFonts w:ascii="Arial" w:eastAsia="Times New Roman" w:hAnsi="Arial" w:cs="Arial"/>
          <w:sz w:val="20"/>
          <w:szCs w:val="20"/>
          <w:lang w:eastAsia="pl-PL"/>
        </w:rPr>
        <w:t xml:space="preserve">Przekazanie biletu w ramach prezentu jest sytuacją sporadyczną i wyjątkową, lecz kiedy ma miejsce, jest związane z podziękowaniem partnerowi biznesowemu/klientowi spółki za współpracę i budowanie </w:t>
      </w:r>
      <w:r w:rsidRPr="00F413BE">
        <w:rPr>
          <w:rFonts w:ascii="Arial" w:eastAsia="Times New Roman" w:hAnsi="Arial" w:cs="Arial"/>
          <w:sz w:val="20"/>
          <w:szCs w:val="20"/>
          <w:lang w:eastAsia="pl-PL"/>
        </w:rPr>
        <w:lastRenderedPageBreak/>
        <w:t>dobrej opinii o spółce. Bilet traktowany jest jako rodzaj gadżetu/prezentu, jakie na co dzień handlowcy wręczają partnerom biznesowym. Wręczany bilet nie jest uznawany przez spółkę za część wynagrodzenia. Jest to zatem dobrowolne świadczenie ze strony spółki, do którego nie jest zobowiązana na podstawie postanowień umownych. Obdarowane osoby funkcjonują jako kluczowe i decyzyjne osoby w obszarze prowadzonej działalności gospodarczej i mają wpływ na współpracę w jej ramach. Podarowanie biletu przez spółkę ma na celu zacieśnienie relacji biznesowych, reklamę, budowanie dobrej opinii na swój temat, wpływanie na rozpoznawalność firmy. Działania powyższe mają także wpływ na lepszą współpracę i wymierny wzrost sprzedaży. Wnioskodawca pragnie zaznaczyć, że przekazywane prezenty (bilety) nie są prezentami o małej wartości (towarami o łącznej wartości nieprzekraczającej w roku podatkowym kwoty 100 zł, bez podatku, jeżeli podatnik prowadzi ewidencję pozwalającą na ustalenie tożsamości tych osób albo których przekazania nie ujęto w ewidencji, jeżeli jednostkowa cena nabycia towaru, bez podatku, nie przekracza 20 zł), a ich zakup finansowany jest ze środków obrotowych spółki. Faktury dokumentujące zakup biletów wystawiane są na spółkę.</w:t>
      </w:r>
    </w:p>
    <w:p w14:paraId="23DF399E" w14:textId="77777777" w:rsidR="00F413BE" w:rsidRPr="00F413BE" w:rsidRDefault="00F413BE" w:rsidP="00F413BE">
      <w:pPr>
        <w:spacing w:after="0" w:line="360" w:lineRule="auto"/>
        <w:jc w:val="both"/>
        <w:rPr>
          <w:rFonts w:ascii="Arial" w:eastAsia="Times New Roman" w:hAnsi="Arial" w:cs="Arial"/>
          <w:b/>
          <w:bCs/>
          <w:sz w:val="20"/>
          <w:szCs w:val="20"/>
          <w:lang w:eastAsia="pl-PL"/>
        </w:rPr>
      </w:pPr>
    </w:p>
    <w:p w14:paraId="45B22216" w14:textId="77777777" w:rsidR="00F413BE" w:rsidRPr="00F413BE" w:rsidRDefault="00F413BE" w:rsidP="00F413BE">
      <w:pPr>
        <w:spacing w:after="0" w:line="360" w:lineRule="auto"/>
        <w:jc w:val="both"/>
        <w:rPr>
          <w:rFonts w:ascii="Arial" w:eastAsia="Times New Roman" w:hAnsi="Arial" w:cs="Arial"/>
          <w:sz w:val="20"/>
          <w:szCs w:val="20"/>
          <w:lang w:eastAsia="pl-PL"/>
        </w:rPr>
      </w:pPr>
      <w:r w:rsidRPr="00F413BE">
        <w:rPr>
          <w:rFonts w:ascii="Arial" w:eastAsia="Times New Roman" w:hAnsi="Arial" w:cs="Arial"/>
          <w:b/>
          <w:bCs/>
          <w:sz w:val="20"/>
          <w:szCs w:val="20"/>
          <w:lang w:eastAsia="pl-PL"/>
        </w:rPr>
        <w:t>Pytania zadane przez podatnika</w:t>
      </w:r>
    </w:p>
    <w:p w14:paraId="5DD28EF7" w14:textId="77777777" w:rsidR="00F413BE" w:rsidRPr="00F413BE" w:rsidRDefault="00F413BE" w:rsidP="00F413BE">
      <w:pPr>
        <w:spacing w:after="0" w:line="360" w:lineRule="auto"/>
        <w:ind w:left="284" w:hanging="284"/>
        <w:jc w:val="both"/>
        <w:rPr>
          <w:rFonts w:ascii="Arial" w:eastAsia="Times New Roman" w:hAnsi="Arial" w:cs="Arial"/>
          <w:sz w:val="20"/>
          <w:szCs w:val="20"/>
          <w:lang w:eastAsia="pl-PL"/>
        </w:rPr>
      </w:pPr>
      <w:r w:rsidRPr="00F413BE">
        <w:rPr>
          <w:rFonts w:ascii="Arial" w:eastAsia="Times New Roman" w:hAnsi="Arial" w:cs="Arial"/>
          <w:sz w:val="20"/>
          <w:szCs w:val="20"/>
          <w:lang w:eastAsia="pl-PL"/>
        </w:rPr>
        <w:t>1. Czy wskazane w stanie faktycznym wydatki ponoszone przez spółkę na: wspólny lunch lub kolację, wspólne wyjście na biletowane wydarzenie kulturalne/rozrywkowe/sportowe, wspólne wyjście na strzelnicę, kręgle, gokarty, lot szybowcem spółka może zaliczyć do kosztów uzyskania przychodów zgodnie z art. 15 ust. 1 ustawy o CIT?</w:t>
      </w:r>
    </w:p>
    <w:p w14:paraId="71C385ED" w14:textId="77777777" w:rsidR="00F413BE" w:rsidRPr="00F413BE" w:rsidRDefault="00F413BE" w:rsidP="00F413BE">
      <w:pPr>
        <w:spacing w:after="0" w:line="360" w:lineRule="auto"/>
        <w:ind w:left="284" w:hanging="284"/>
        <w:jc w:val="both"/>
        <w:rPr>
          <w:rFonts w:ascii="Arial" w:eastAsia="Times New Roman" w:hAnsi="Arial" w:cs="Arial"/>
          <w:sz w:val="20"/>
          <w:szCs w:val="20"/>
          <w:lang w:eastAsia="pl-PL"/>
        </w:rPr>
      </w:pPr>
      <w:r w:rsidRPr="00F413BE">
        <w:rPr>
          <w:rFonts w:ascii="Arial" w:eastAsia="Times New Roman" w:hAnsi="Arial" w:cs="Arial"/>
          <w:sz w:val="20"/>
          <w:szCs w:val="20"/>
          <w:lang w:eastAsia="pl-PL"/>
        </w:rPr>
        <w:t>2. Czy wskazane w stanie faktycznym wydatki ponoszone przez spółkę na zakup biletów na wydarzenie kulturalne/rozrywkowe/sportowe, które wręczane są jako prezenty partnerom biznesowym oraz klientom, spółka może zaliczyć do kosztów uzyskania przychodów zgodnie z art. 15 ust. 1 ustawy o CIT?</w:t>
      </w:r>
    </w:p>
    <w:p w14:paraId="74F5BA06" w14:textId="77777777" w:rsidR="00F413BE" w:rsidRPr="00F413BE" w:rsidRDefault="00F413BE" w:rsidP="00F413BE">
      <w:pPr>
        <w:spacing w:after="0" w:line="360" w:lineRule="auto"/>
        <w:jc w:val="both"/>
        <w:rPr>
          <w:rFonts w:ascii="Arial" w:eastAsia="Times New Roman" w:hAnsi="Arial" w:cs="Arial"/>
          <w:b/>
          <w:sz w:val="20"/>
          <w:szCs w:val="20"/>
          <w:lang w:eastAsia="pl-PL"/>
        </w:rPr>
      </w:pPr>
    </w:p>
    <w:p w14:paraId="11EE6BCC" w14:textId="77777777" w:rsidR="00F413BE" w:rsidRPr="00F413BE" w:rsidRDefault="00F413BE" w:rsidP="00F413BE">
      <w:pPr>
        <w:spacing w:after="0" w:line="360" w:lineRule="auto"/>
        <w:jc w:val="both"/>
        <w:rPr>
          <w:rFonts w:ascii="Arial" w:eastAsia="Times New Roman" w:hAnsi="Arial" w:cs="Arial"/>
          <w:b/>
          <w:sz w:val="20"/>
          <w:szCs w:val="20"/>
          <w:lang w:eastAsia="pl-PL"/>
        </w:rPr>
      </w:pPr>
      <w:r w:rsidRPr="00F413BE">
        <w:rPr>
          <w:rFonts w:ascii="Arial" w:eastAsia="Times New Roman" w:hAnsi="Arial" w:cs="Arial"/>
          <w:b/>
          <w:sz w:val="20"/>
          <w:szCs w:val="20"/>
          <w:lang w:eastAsia="pl-PL"/>
        </w:rPr>
        <w:t>Główny argument spółki</w:t>
      </w:r>
    </w:p>
    <w:p w14:paraId="02AA2F14" w14:textId="77777777" w:rsidR="00F413BE" w:rsidRPr="00F413BE" w:rsidRDefault="00F413BE" w:rsidP="00F413BE">
      <w:pPr>
        <w:spacing w:after="0" w:line="360" w:lineRule="auto"/>
        <w:jc w:val="both"/>
        <w:rPr>
          <w:rFonts w:ascii="Arial" w:eastAsia="Times New Roman" w:hAnsi="Arial" w:cs="Arial"/>
          <w:sz w:val="20"/>
          <w:szCs w:val="20"/>
          <w:lang w:eastAsia="pl-PL"/>
        </w:rPr>
      </w:pPr>
      <w:r w:rsidRPr="00F413BE">
        <w:rPr>
          <w:rFonts w:ascii="Arial" w:eastAsia="Times New Roman" w:hAnsi="Arial" w:cs="Arial"/>
          <w:sz w:val="20"/>
          <w:szCs w:val="20"/>
          <w:lang w:eastAsia="pl-PL"/>
        </w:rPr>
        <w:t xml:space="preserve">Zdaniem spółki wydatki ponoszone przez nią na: wspólny lunch lub kolację, wspólne wyjście na biletowane wydarzenie kulturalne/rozrywkowe/sportowe, wspólne wyjście na strzelnicę, kręgle, gokarty, lot szybowcem itp. może zaliczyć ona do kosztów uzyskania przychodów zgodnie z art. 15 ust. 1 ustawy o CIT. Jak stanowi art. 15 ust. 1 ustawy o CIT, kosztami uzyskania przychodów są koszty poniesione w celu osiągnięcia przychodów lub zachowania albo zabezpieczenia źródła przychodów, z wyjątkiem kosztów wymienionych w art. 16 ust. 1 tej ustawy. Powyższe oznacza, że wszystkie poniesione wydatki, po wyłączeniu wydatków enumeratywnie wymienionych w art. 16 ust. 1 ustawy, stanowić będą koszt uzyskania przychodu, o ile pozostają w związku </w:t>
      </w:r>
      <w:proofErr w:type="spellStart"/>
      <w:r w:rsidRPr="00F413BE">
        <w:rPr>
          <w:rFonts w:ascii="Arial" w:eastAsia="Times New Roman" w:hAnsi="Arial" w:cs="Arial"/>
          <w:sz w:val="20"/>
          <w:szCs w:val="20"/>
          <w:lang w:eastAsia="pl-PL"/>
        </w:rPr>
        <w:t>przyczynowo-skutkowym</w:t>
      </w:r>
      <w:proofErr w:type="spellEnd"/>
      <w:r w:rsidRPr="00F413BE">
        <w:rPr>
          <w:rFonts w:ascii="Arial" w:eastAsia="Times New Roman" w:hAnsi="Arial" w:cs="Arial"/>
          <w:sz w:val="20"/>
          <w:szCs w:val="20"/>
          <w:lang w:eastAsia="pl-PL"/>
        </w:rPr>
        <w:t xml:space="preserve"> z osiąganymi przychodami, w tym służą zachowaniu lub zabezpieczeniu funkcjonowania źródła przychodów.</w:t>
      </w:r>
    </w:p>
    <w:p w14:paraId="55DCCE0F" w14:textId="77777777" w:rsidR="00F413BE" w:rsidRPr="00F413BE" w:rsidRDefault="00F413BE" w:rsidP="00F413BE">
      <w:pPr>
        <w:spacing w:after="0" w:line="360" w:lineRule="auto"/>
        <w:jc w:val="both"/>
        <w:rPr>
          <w:rFonts w:ascii="Arial" w:eastAsia="Times New Roman" w:hAnsi="Arial" w:cs="Arial"/>
          <w:b/>
          <w:sz w:val="20"/>
          <w:szCs w:val="20"/>
          <w:lang w:eastAsia="pl-PL"/>
        </w:rPr>
      </w:pPr>
    </w:p>
    <w:p w14:paraId="12D9ED58" w14:textId="77777777" w:rsidR="00F413BE" w:rsidRPr="00F413BE" w:rsidRDefault="00F413BE" w:rsidP="00F413BE">
      <w:pPr>
        <w:spacing w:after="0" w:line="360" w:lineRule="auto"/>
        <w:jc w:val="both"/>
        <w:rPr>
          <w:rFonts w:ascii="Arial" w:eastAsia="Times New Roman" w:hAnsi="Arial" w:cs="Arial"/>
          <w:b/>
          <w:sz w:val="20"/>
          <w:szCs w:val="20"/>
          <w:lang w:eastAsia="pl-PL"/>
        </w:rPr>
      </w:pPr>
      <w:r w:rsidRPr="00F413BE">
        <w:rPr>
          <w:rFonts w:ascii="Arial" w:eastAsia="Times New Roman" w:hAnsi="Arial" w:cs="Arial"/>
          <w:b/>
          <w:sz w:val="20"/>
          <w:szCs w:val="20"/>
          <w:lang w:eastAsia="pl-PL"/>
        </w:rPr>
        <w:t>Opinia fiskusa</w:t>
      </w:r>
    </w:p>
    <w:p w14:paraId="4D7315EB" w14:textId="77777777" w:rsidR="00F413BE" w:rsidRPr="00F413BE" w:rsidRDefault="00F413BE" w:rsidP="00F413BE">
      <w:pPr>
        <w:spacing w:after="0" w:line="360" w:lineRule="auto"/>
        <w:jc w:val="both"/>
        <w:rPr>
          <w:rFonts w:ascii="Arial" w:eastAsia="Times New Roman" w:hAnsi="Arial" w:cs="Arial"/>
          <w:sz w:val="20"/>
          <w:szCs w:val="20"/>
          <w:lang w:eastAsia="pl-PL"/>
        </w:rPr>
      </w:pPr>
      <w:r w:rsidRPr="00F413BE">
        <w:rPr>
          <w:rFonts w:ascii="Arial" w:eastAsia="Times New Roman" w:hAnsi="Arial" w:cs="Arial"/>
          <w:sz w:val="20"/>
          <w:szCs w:val="20"/>
          <w:lang w:eastAsia="pl-PL"/>
        </w:rPr>
        <w:t>Dyrektor KIS stwierdził, iż organizowane przez spółkę spotkania dają wymierne korzyści handlowe oraz marketingowe, w tym:</w:t>
      </w:r>
    </w:p>
    <w:p w14:paraId="531CC71D" w14:textId="77777777" w:rsidR="00F413BE" w:rsidRPr="00F413BE" w:rsidRDefault="00F413BE" w:rsidP="00F413BE">
      <w:pPr>
        <w:numPr>
          <w:ilvl w:val="0"/>
          <w:numId w:val="34"/>
        </w:numPr>
        <w:spacing w:after="0" w:line="360" w:lineRule="auto"/>
        <w:ind w:left="567" w:hanging="283"/>
        <w:contextualSpacing/>
        <w:jc w:val="both"/>
        <w:rPr>
          <w:rFonts w:ascii="Arial" w:eastAsia="Times New Roman" w:hAnsi="Arial" w:cs="Arial"/>
          <w:sz w:val="20"/>
          <w:szCs w:val="20"/>
          <w:lang w:eastAsia="pl-PL"/>
        </w:rPr>
      </w:pPr>
      <w:r w:rsidRPr="00F413BE">
        <w:rPr>
          <w:rFonts w:ascii="Arial" w:eastAsia="Times New Roman" w:hAnsi="Arial" w:cs="Arial"/>
          <w:sz w:val="20"/>
          <w:szCs w:val="20"/>
          <w:lang w:eastAsia="pl-PL"/>
        </w:rPr>
        <w:t>rozpowszechnienie informacji o produktach wśród kluczowych partnerów (projektanci/wykonawcy/dystrybutorzy),</w:t>
      </w:r>
    </w:p>
    <w:p w14:paraId="120F8F36" w14:textId="77777777" w:rsidR="00F413BE" w:rsidRPr="00F413BE" w:rsidRDefault="00F413BE" w:rsidP="00F413BE">
      <w:pPr>
        <w:numPr>
          <w:ilvl w:val="0"/>
          <w:numId w:val="34"/>
        </w:numPr>
        <w:spacing w:after="0" w:line="360" w:lineRule="auto"/>
        <w:ind w:left="567" w:hanging="283"/>
        <w:contextualSpacing/>
        <w:jc w:val="both"/>
        <w:rPr>
          <w:rFonts w:ascii="Arial" w:eastAsia="Times New Roman" w:hAnsi="Arial" w:cs="Arial"/>
          <w:sz w:val="20"/>
          <w:szCs w:val="20"/>
          <w:lang w:eastAsia="pl-PL"/>
        </w:rPr>
      </w:pPr>
      <w:r w:rsidRPr="00F413BE">
        <w:rPr>
          <w:rFonts w:ascii="Arial" w:eastAsia="Times New Roman" w:hAnsi="Arial" w:cs="Arial"/>
          <w:sz w:val="20"/>
          <w:szCs w:val="20"/>
          <w:lang w:eastAsia="pl-PL"/>
        </w:rPr>
        <w:lastRenderedPageBreak/>
        <w:t>budowanie rozpoznawalności produktów i marki firmy,</w:t>
      </w:r>
    </w:p>
    <w:p w14:paraId="79F5BEC4" w14:textId="77777777" w:rsidR="00F413BE" w:rsidRPr="00F413BE" w:rsidRDefault="00F413BE" w:rsidP="00F413BE">
      <w:pPr>
        <w:numPr>
          <w:ilvl w:val="0"/>
          <w:numId w:val="34"/>
        </w:numPr>
        <w:spacing w:after="0" w:line="360" w:lineRule="auto"/>
        <w:ind w:left="567" w:hanging="283"/>
        <w:contextualSpacing/>
        <w:jc w:val="both"/>
        <w:rPr>
          <w:rFonts w:ascii="Arial" w:eastAsia="Times New Roman" w:hAnsi="Arial" w:cs="Arial"/>
          <w:sz w:val="20"/>
          <w:szCs w:val="20"/>
          <w:lang w:eastAsia="pl-PL"/>
        </w:rPr>
      </w:pPr>
      <w:r w:rsidRPr="00F413BE">
        <w:rPr>
          <w:rFonts w:ascii="Arial" w:eastAsia="Times New Roman" w:hAnsi="Arial" w:cs="Arial"/>
          <w:sz w:val="20"/>
          <w:szCs w:val="20"/>
          <w:lang w:eastAsia="pl-PL"/>
        </w:rPr>
        <w:t>budowanie relacji biznesowych niezbędnych do budowania sprzedaży,</w:t>
      </w:r>
    </w:p>
    <w:p w14:paraId="63A44F3A" w14:textId="77777777" w:rsidR="00F413BE" w:rsidRPr="00F413BE" w:rsidRDefault="00F413BE" w:rsidP="00F413BE">
      <w:pPr>
        <w:numPr>
          <w:ilvl w:val="0"/>
          <w:numId w:val="34"/>
        </w:numPr>
        <w:spacing w:after="0" w:line="360" w:lineRule="auto"/>
        <w:ind w:left="567" w:hanging="283"/>
        <w:contextualSpacing/>
        <w:jc w:val="both"/>
        <w:rPr>
          <w:rFonts w:ascii="Arial" w:eastAsia="Times New Roman" w:hAnsi="Arial" w:cs="Arial"/>
          <w:sz w:val="20"/>
          <w:szCs w:val="20"/>
          <w:lang w:eastAsia="pl-PL"/>
        </w:rPr>
      </w:pPr>
      <w:r w:rsidRPr="00F413BE">
        <w:rPr>
          <w:rFonts w:ascii="Arial" w:eastAsia="Times New Roman" w:hAnsi="Arial" w:cs="Arial"/>
          <w:sz w:val="20"/>
          <w:szCs w:val="20"/>
          <w:lang w:eastAsia="pl-PL"/>
        </w:rPr>
        <w:t>obecność w projektach budowlanych różnych inwestycji,</w:t>
      </w:r>
    </w:p>
    <w:p w14:paraId="31803ECF" w14:textId="77777777" w:rsidR="00F413BE" w:rsidRPr="00F413BE" w:rsidRDefault="00F413BE" w:rsidP="00F413BE">
      <w:pPr>
        <w:numPr>
          <w:ilvl w:val="0"/>
          <w:numId w:val="34"/>
        </w:numPr>
        <w:spacing w:after="0" w:line="360" w:lineRule="auto"/>
        <w:ind w:left="567" w:hanging="283"/>
        <w:contextualSpacing/>
        <w:jc w:val="both"/>
        <w:rPr>
          <w:rFonts w:ascii="Arial" w:eastAsia="Times New Roman" w:hAnsi="Arial" w:cs="Arial"/>
          <w:sz w:val="20"/>
          <w:szCs w:val="20"/>
          <w:lang w:eastAsia="pl-PL"/>
        </w:rPr>
      </w:pPr>
      <w:r w:rsidRPr="00F413BE">
        <w:rPr>
          <w:rFonts w:ascii="Arial" w:eastAsia="Times New Roman" w:hAnsi="Arial" w:cs="Arial"/>
          <w:sz w:val="20"/>
          <w:szCs w:val="20"/>
          <w:lang w:eastAsia="pl-PL"/>
        </w:rPr>
        <w:t>szkolenia ekip wykonawczych w produktach spółki i sposobie ich montażu,</w:t>
      </w:r>
    </w:p>
    <w:p w14:paraId="1FF663C4" w14:textId="77777777" w:rsidR="00F413BE" w:rsidRPr="00F413BE" w:rsidRDefault="00F413BE" w:rsidP="00F413BE">
      <w:pPr>
        <w:numPr>
          <w:ilvl w:val="0"/>
          <w:numId w:val="34"/>
        </w:numPr>
        <w:spacing w:after="0" w:line="360" w:lineRule="auto"/>
        <w:ind w:left="567" w:hanging="283"/>
        <w:contextualSpacing/>
        <w:jc w:val="both"/>
        <w:rPr>
          <w:rFonts w:ascii="Arial" w:eastAsia="Times New Roman" w:hAnsi="Arial" w:cs="Arial"/>
          <w:sz w:val="20"/>
          <w:szCs w:val="20"/>
          <w:lang w:eastAsia="pl-PL"/>
        </w:rPr>
      </w:pPr>
      <w:r w:rsidRPr="00F413BE">
        <w:rPr>
          <w:rFonts w:ascii="Arial" w:eastAsia="Times New Roman" w:hAnsi="Arial" w:cs="Arial"/>
          <w:sz w:val="20"/>
          <w:szCs w:val="20"/>
          <w:lang w:eastAsia="pl-PL"/>
        </w:rPr>
        <w:t>nawiązanie dobrych relacji międzyludzkich przekładających się na biznes,</w:t>
      </w:r>
    </w:p>
    <w:p w14:paraId="4A5E2481" w14:textId="77777777" w:rsidR="00F413BE" w:rsidRPr="00F413BE" w:rsidRDefault="00F413BE" w:rsidP="00F413BE">
      <w:pPr>
        <w:numPr>
          <w:ilvl w:val="0"/>
          <w:numId w:val="34"/>
        </w:numPr>
        <w:spacing w:after="0" w:line="360" w:lineRule="auto"/>
        <w:ind w:left="567" w:hanging="283"/>
        <w:contextualSpacing/>
        <w:jc w:val="both"/>
        <w:rPr>
          <w:rFonts w:ascii="Arial" w:eastAsia="Times New Roman" w:hAnsi="Arial" w:cs="Arial"/>
          <w:sz w:val="20"/>
          <w:szCs w:val="20"/>
          <w:lang w:eastAsia="pl-PL"/>
        </w:rPr>
      </w:pPr>
      <w:r w:rsidRPr="00F413BE">
        <w:rPr>
          <w:rFonts w:ascii="Arial" w:eastAsia="Times New Roman" w:hAnsi="Arial" w:cs="Arial"/>
          <w:sz w:val="20"/>
          <w:szCs w:val="20"/>
          <w:lang w:eastAsia="pl-PL"/>
        </w:rPr>
        <w:t>wzrost sprzedaży z racji obecności w projektach biur projektowych,</w:t>
      </w:r>
    </w:p>
    <w:p w14:paraId="18AB3B96" w14:textId="77777777" w:rsidR="00F413BE" w:rsidRPr="00F413BE" w:rsidRDefault="00F413BE" w:rsidP="00F413BE">
      <w:pPr>
        <w:numPr>
          <w:ilvl w:val="0"/>
          <w:numId w:val="34"/>
        </w:numPr>
        <w:spacing w:after="0" w:line="360" w:lineRule="auto"/>
        <w:ind w:left="567" w:hanging="283"/>
        <w:contextualSpacing/>
        <w:jc w:val="both"/>
        <w:rPr>
          <w:rFonts w:ascii="Arial" w:eastAsia="Times New Roman" w:hAnsi="Arial" w:cs="Arial"/>
          <w:sz w:val="20"/>
          <w:szCs w:val="20"/>
          <w:lang w:eastAsia="pl-PL"/>
        </w:rPr>
      </w:pPr>
      <w:r w:rsidRPr="00F413BE">
        <w:rPr>
          <w:rFonts w:ascii="Arial" w:eastAsia="Times New Roman" w:hAnsi="Arial" w:cs="Arial"/>
          <w:sz w:val="20"/>
          <w:szCs w:val="20"/>
          <w:lang w:eastAsia="pl-PL"/>
        </w:rPr>
        <w:t>wzrost sprzedaży z racji obecności w świadomości wykonawców,</w:t>
      </w:r>
    </w:p>
    <w:p w14:paraId="7C19B158" w14:textId="77777777" w:rsidR="00F413BE" w:rsidRPr="00F413BE" w:rsidRDefault="00F413BE" w:rsidP="00F413BE">
      <w:pPr>
        <w:numPr>
          <w:ilvl w:val="0"/>
          <w:numId w:val="34"/>
        </w:numPr>
        <w:spacing w:after="0" w:line="360" w:lineRule="auto"/>
        <w:ind w:left="567" w:hanging="283"/>
        <w:contextualSpacing/>
        <w:jc w:val="both"/>
        <w:rPr>
          <w:rFonts w:ascii="Arial" w:eastAsia="Times New Roman" w:hAnsi="Arial" w:cs="Arial"/>
          <w:sz w:val="20"/>
          <w:szCs w:val="20"/>
          <w:lang w:eastAsia="pl-PL"/>
        </w:rPr>
      </w:pPr>
      <w:r w:rsidRPr="00F413BE">
        <w:rPr>
          <w:rFonts w:ascii="Arial" w:eastAsia="Times New Roman" w:hAnsi="Arial" w:cs="Arial"/>
          <w:sz w:val="20"/>
          <w:szCs w:val="20"/>
          <w:lang w:eastAsia="pl-PL"/>
        </w:rPr>
        <w:t>wzrost sprzedaży z racji dobrych relacji międzyludzkich z przedstawicielami dystrybutorów.</w:t>
      </w:r>
    </w:p>
    <w:p w14:paraId="00B58498" w14:textId="77777777" w:rsidR="00F413BE" w:rsidRPr="00F413BE" w:rsidRDefault="00F413BE" w:rsidP="00F413BE">
      <w:pPr>
        <w:spacing w:after="0" w:line="360" w:lineRule="auto"/>
        <w:jc w:val="both"/>
        <w:rPr>
          <w:rFonts w:ascii="Arial" w:eastAsia="Times New Roman" w:hAnsi="Arial" w:cs="Arial"/>
          <w:sz w:val="20"/>
          <w:szCs w:val="20"/>
          <w:lang w:eastAsia="pl-PL"/>
        </w:rPr>
      </w:pPr>
      <w:r w:rsidRPr="00F413BE">
        <w:rPr>
          <w:rFonts w:ascii="Arial" w:eastAsia="Times New Roman" w:hAnsi="Arial" w:cs="Arial"/>
          <w:sz w:val="20"/>
          <w:szCs w:val="20"/>
          <w:lang w:eastAsia="pl-PL"/>
        </w:rPr>
        <w:t xml:space="preserve">Głównym celem organizowanych spotkań (szkoleń oraz dodatkowych atrakcji) nie jest więc budowanie wizerunku spółki, lecz podtrzymanie lub nawiązanie współpracy, która będzie skutkować rozpowszechnieniem informacji o produktach spółki wśród kluczowych partnerów oraz wzrostem sprzedaży spółki. W związku z powyższym, zdaniem spółki, wydatki poniesione na posiłki oraz bilety na wspólne wyjście kulturalne/rozrywkowe/ sportowe nie posiadają charakteru reprezentacyjnego, a więc nie podlegają ograniczeniom w zakresie zaliczenia ich do kosztów wynikającym z art. 16 ust. 1 pkt 28 ustawy o podatku dochodowym od osób prawnych. Wydatki te mają na celu osiągnięcie i zachowanie podstawowych źródeł przychodów związanych z działalnością spółki. Dzięki spotkaniom dotychczasowi partnerzy biznesowi oraz pracownicy spółki kontynuują współpracę ze spółką i poprzez kolejne szkolenia mogą proponować klientom coraz to nowe rozwiązania będące w ofercie spółki, natomiast nowi partnerzy biznesowi, niezwiązani jeszcze umową ze spółką, mogą dowiedzieć się o jej ofercie i wdrożyć proponowane rozwiązania w nowych projektach. </w:t>
      </w:r>
    </w:p>
    <w:p w14:paraId="4EAC6601" w14:textId="77777777" w:rsidR="00F413BE" w:rsidRPr="00F413BE" w:rsidRDefault="00F413BE" w:rsidP="00F413BE">
      <w:pPr>
        <w:spacing w:after="0" w:line="360" w:lineRule="auto"/>
        <w:jc w:val="both"/>
        <w:rPr>
          <w:rFonts w:ascii="Arial" w:eastAsia="Times New Roman" w:hAnsi="Arial" w:cs="Arial"/>
          <w:sz w:val="20"/>
          <w:szCs w:val="20"/>
          <w:lang w:eastAsia="pl-PL"/>
        </w:rPr>
      </w:pPr>
      <w:r w:rsidRPr="00F413BE">
        <w:rPr>
          <w:rFonts w:ascii="Arial" w:eastAsia="Times New Roman" w:hAnsi="Arial" w:cs="Arial"/>
          <w:b/>
          <w:sz w:val="20"/>
          <w:szCs w:val="20"/>
          <w:lang w:eastAsia="pl-PL"/>
        </w:rPr>
        <w:t xml:space="preserve">Ponoszenie tych świadczeń jest więc celowe i ma racjonalne podstawy, co uzasadnia uznanie ich za koszty uzyskania przychodów w CIT. </w:t>
      </w:r>
      <w:r w:rsidRPr="00F413BE">
        <w:rPr>
          <w:rFonts w:ascii="Arial" w:eastAsia="Times New Roman" w:hAnsi="Arial" w:cs="Arial"/>
          <w:sz w:val="20"/>
          <w:szCs w:val="20"/>
          <w:lang w:eastAsia="pl-PL"/>
        </w:rPr>
        <w:t xml:space="preserve">Pomiędzy poniesieniem kosztu a uzyskaniem przychodu istnieje więc związek </w:t>
      </w:r>
      <w:proofErr w:type="spellStart"/>
      <w:r w:rsidRPr="00F413BE">
        <w:rPr>
          <w:rFonts w:ascii="Arial" w:eastAsia="Times New Roman" w:hAnsi="Arial" w:cs="Arial"/>
          <w:sz w:val="20"/>
          <w:szCs w:val="20"/>
          <w:lang w:eastAsia="pl-PL"/>
        </w:rPr>
        <w:t>przyczynowo-skutkowy</w:t>
      </w:r>
      <w:proofErr w:type="spellEnd"/>
      <w:r w:rsidRPr="00F413BE">
        <w:rPr>
          <w:rFonts w:ascii="Arial" w:eastAsia="Times New Roman" w:hAnsi="Arial" w:cs="Arial"/>
          <w:sz w:val="20"/>
          <w:szCs w:val="20"/>
          <w:lang w:eastAsia="pl-PL"/>
        </w:rPr>
        <w:t>, zgodnie z dyspozycją powołanego art. 15 ust. 1 ustawy o CIT.</w:t>
      </w:r>
    </w:p>
    <w:p w14:paraId="46D20357" w14:textId="77777777" w:rsidR="00F413BE" w:rsidRPr="00F413BE" w:rsidRDefault="00F413BE" w:rsidP="00F413BE">
      <w:pPr>
        <w:spacing w:after="0" w:line="360" w:lineRule="auto"/>
        <w:jc w:val="both"/>
        <w:rPr>
          <w:rFonts w:ascii="Arial" w:eastAsia="Times New Roman" w:hAnsi="Arial" w:cs="Arial"/>
          <w:b/>
          <w:sz w:val="20"/>
          <w:szCs w:val="20"/>
          <w:lang w:eastAsia="pl-PL"/>
        </w:rPr>
      </w:pPr>
    </w:p>
    <w:p w14:paraId="01D6F0C8" w14:textId="77777777" w:rsidR="00F413BE" w:rsidRPr="00F413BE" w:rsidRDefault="00F413BE" w:rsidP="00F413BE">
      <w:pPr>
        <w:spacing w:after="0" w:line="360" w:lineRule="auto"/>
        <w:jc w:val="both"/>
        <w:rPr>
          <w:rFonts w:ascii="Arial" w:eastAsia="Times New Roman" w:hAnsi="Arial" w:cs="Arial"/>
          <w:b/>
          <w:sz w:val="20"/>
          <w:szCs w:val="20"/>
          <w:lang w:eastAsia="pl-PL"/>
        </w:rPr>
      </w:pPr>
      <w:r w:rsidRPr="00F413BE">
        <w:rPr>
          <w:rFonts w:ascii="Arial" w:eastAsia="Times New Roman" w:hAnsi="Arial" w:cs="Arial"/>
          <w:b/>
          <w:sz w:val="20"/>
          <w:szCs w:val="20"/>
          <w:lang w:eastAsia="pl-PL"/>
        </w:rPr>
        <w:t xml:space="preserve">Ważne! Fiskus wypowiada się co do kwestii najważniejszej, czyli przekazywania biletów. </w:t>
      </w:r>
    </w:p>
    <w:p w14:paraId="2DDFE9C5" w14:textId="77777777" w:rsidR="00F413BE" w:rsidRPr="00F413BE" w:rsidRDefault="00F413BE" w:rsidP="00F413BE">
      <w:pPr>
        <w:spacing w:after="0" w:line="360" w:lineRule="auto"/>
        <w:jc w:val="both"/>
        <w:rPr>
          <w:rFonts w:ascii="Arial" w:hAnsi="Arial" w:cs="Arial"/>
          <w:sz w:val="20"/>
          <w:szCs w:val="20"/>
        </w:rPr>
      </w:pPr>
      <w:r w:rsidRPr="00F413BE">
        <w:rPr>
          <w:rFonts w:ascii="Arial" w:hAnsi="Arial" w:cs="Arial"/>
          <w:sz w:val="20"/>
          <w:szCs w:val="20"/>
        </w:rPr>
        <w:t xml:space="preserve">Zdaniem fiskusa, skoro wręczanie upominków klientom w postaci biletów na wydarzenie kulturalne/rozrywkowe/sportowe stanowi element strategii marketingowej spółki w celu rozszerzenia i zacieśnienia współpracy z aktualnymi kontrahentami i partnerami, jak również promocji oraz reklamy, przedmiotowe wydatki nie stanowią wydatków na reprezentację, o których mowa w art. 16 ust. 1 pkt 28 ustawy o CIT. Biorąc pod uwagę cel wręczania upominków, działania te należy uznać za reklamę. Reklama bowiem to działania podmiotu gospodarczego kształtujące popyt na dane towary, usługi lub markę, poprzez poszerzenie wiedzy o nich, mające na celu zachęcenie jak największej liczby potencjalnych klientów do zakupu towarów lub usług tego podmiotu gospodarczego. Ponieważ celem wnioskodawcy, który wręcza prezenty partnerom biznesowym oraz klientom, jest promocja i reklama jego produktów i towarów oraz zachęcenie do ich zakupu i podjęcia lub rozszerzenia współpracy, </w:t>
      </w:r>
      <w:r w:rsidRPr="00F413BE">
        <w:rPr>
          <w:rFonts w:ascii="Arial" w:hAnsi="Arial" w:cs="Arial"/>
          <w:b/>
          <w:sz w:val="20"/>
          <w:szCs w:val="20"/>
        </w:rPr>
        <w:t>należy uznać, że wydatki poniesione w tym zakresie powinny być uznane za koszty uzyskania przychodów.</w:t>
      </w:r>
    </w:p>
    <w:p w14:paraId="0217FE7E" w14:textId="77777777" w:rsidR="00F413BE" w:rsidRPr="00F413BE" w:rsidRDefault="00F413BE" w:rsidP="00F413BE">
      <w:pPr>
        <w:spacing w:after="0" w:line="360" w:lineRule="auto"/>
        <w:jc w:val="both"/>
        <w:rPr>
          <w:rFonts w:ascii="Arial" w:eastAsia="Times New Roman" w:hAnsi="Arial" w:cs="Arial"/>
          <w:b/>
          <w:sz w:val="20"/>
          <w:szCs w:val="20"/>
          <w:lang w:eastAsia="pl-PL"/>
        </w:rPr>
      </w:pPr>
    </w:p>
    <w:p w14:paraId="6D8ADCAC" w14:textId="77777777" w:rsidR="00F413BE" w:rsidRPr="00F413BE" w:rsidRDefault="00F413BE" w:rsidP="00F413BE">
      <w:pPr>
        <w:spacing w:after="0" w:line="360" w:lineRule="auto"/>
        <w:jc w:val="both"/>
        <w:rPr>
          <w:rFonts w:ascii="Arial" w:eastAsia="Times New Roman" w:hAnsi="Arial" w:cs="Arial"/>
          <w:b/>
          <w:sz w:val="20"/>
          <w:szCs w:val="20"/>
          <w:lang w:eastAsia="pl-PL"/>
        </w:rPr>
      </w:pPr>
      <w:r w:rsidRPr="00F413BE">
        <w:rPr>
          <w:rFonts w:ascii="Arial" w:eastAsia="Times New Roman" w:hAnsi="Arial" w:cs="Arial"/>
          <w:b/>
          <w:sz w:val="20"/>
          <w:szCs w:val="20"/>
          <w:lang w:eastAsia="pl-PL"/>
        </w:rPr>
        <w:t xml:space="preserve">Ważna argumentacja podatnika </w:t>
      </w:r>
    </w:p>
    <w:p w14:paraId="03409579" w14:textId="77777777" w:rsidR="00F413BE" w:rsidRPr="00F413BE" w:rsidRDefault="00F413BE" w:rsidP="00F413BE">
      <w:pPr>
        <w:spacing w:after="0" w:line="360" w:lineRule="auto"/>
        <w:jc w:val="both"/>
        <w:rPr>
          <w:rFonts w:ascii="Arial" w:hAnsi="Arial" w:cs="Arial"/>
          <w:sz w:val="20"/>
          <w:szCs w:val="20"/>
        </w:rPr>
      </w:pPr>
      <w:r w:rsidRPr="00F413BE">
        <w:rPr>
          <w:rFonts w:ascii="Arial" w:eastAsia="Times New Roman" w:hAnsi="Arial" w:cs="Arial"/>
          <w:sz w:val="20"/>
          <w:szCs w:val="20"/>
          <w:lang w:eastAsia="pl-PL"/>
        </w:rPr>
        <w:lastRenderedPageBreak/>
        <w:t>„</w:t>
      </w:r>
      <w:r w:rsidRPr="00F413BE">
        <w:rPr>
          <w:rFonts w:ascii="Arial" w:hAnsi="Arial" w:cs="Arial"/>
          <w:sz w:val="20"/>
          <w:szCs w:val="20"/>
        </w:rPr>
        <w:t>Wręczenie biletu jest formą podziękowania partnerowi biznesowemu/klientowi spółki za współpracę i budowanie dobrej opinii o spółce, wpływającą na marketingową sferę działalności spółki, tym bardziej iż obdarowane osoby funkcjonują jako kluczowe i decyzyjne osoby w obszarze prowadzonej działalności gospodarczej i mają wpływ na współpracę w jej ramach. Poprzez podarowanie biletu spółka ma na celu zacieśnienie relacji biznesowych, reklamę swoich usług, budowanie dobrej opinii na swój temat, wpływanie na rozpoznawalność firmy/przedsiębiorstwa. Działania powyższe mają także wpływ na lepszą współpracę i wymierny wzrost sprzedaży”.</w:t>
      </w:r>
    </w:p>
    <w:p w14:paraId="5FB2E50C" w14:textId="77777777" w:rsidR="00F413BE" w:rsidRPr="00F413BE" w:rsidRDefault="00F413BE" w:rsidP="00F413BE">
      <w:pPr>
        <w:spacing w:after="0" w:line="360" w:lineRule="auto"/>
        <w:jc w:val="both"/>
        <w:rPr>
          <w:rFonts w:ascii="Arial" w:hAnsi="Arial" w:cs="Arial"/>
          <w:b/>
          <w:sz w:val="20"/>
          <w:szCs w:val="20"/>
        </w:rPr>
      </w:pPr>
    </w:p>
    <w:p w14:paraId="6D09F000" w14:textId="77777777" w:rsidR="00F413BE" w:rsidRPr="00F413BE" w:rsidRDefault="00F413BE" w:rsidP="00F413BE">
      <w:pPr>
        <w:spacing w:after="0" w:line="360" w:lineRule="auto"/>
        <w:jc w:val="both"/>
        <w:rPr>
          <w:rFonts w:ascii="Arial" w:hAnsi="Arial" w:cs="Arial"/>
          <w:b/>
          <w:sz w:val="20"/>
          <w:szCs w:val="20"/>
        </w:rPr>
      </w:pPr>
      <w:r w:rsidRPr="00F413BE">
        <w:rPr>
          <w:rFonts w:ascii="Arial" w:hAnsi="Arial" w:cs="Arial"/>
          <w:b/>
          <w:sz w:val="20"/>
          <w:szCs w:val="20"/>
        </w:rPr>
        <w:t>Ważne podsumowanie!</w:t>
      </w:r>
    </w:p>
    <w:p w14:paraId="31491D66" w14:textId="77777777" w:rsidR="00F413BE" w:rsidRPr="00F413BE" w:rsidRDefault="00F413BE" w:rsidP="00F413BE">
      <w:pPr>
        <w:spacing w:after="0" w:line="360" w:lineRule="auto"/>
        <w:jc w:val="both"/>
        <w:rPr>
          <w:rFonts w:ascii="Arial" w:eastAsia="Times New Roman" w:hAnsi="Arial" w:cs="Arial"/>
          <w:sz w:val="20"/>
          <w:szCs w:val="20"/>
          <w:lang w:eastAsia="pl-PL"/>
        </w:rPr>
      </w:pPr>
      <w:r w:rsidRPr="00F413BE">
        <w:rPr>
          <w:rFonts w:ascii="Arial" w:hAnsi="Arial" w:cs="Arial"/>
          <w:sz w:val="20"/>
          <w:szCs w:val="20"/>
        </w:rPr>
        <w:t xml:space="preserve">Ta jedna szeroka problematycznie interpretacja na dobrą sprawę może pomóc rozwikłać wiele trudności i pytań pojawiających się w bieżącej działalności gospodarczej. Ze względu na nadchodzący kryzys i rozpaczliwe starania o klienta w wielu branżach zachodzą wielkie zmiany w sposobie pozyskiwania klienta. Budując strategię sprzedażową, warto pomyśleć o tym, jak argumentował swoje czynności sprzedażowo-marketingowe ten przedsiębiorca w interpretacji swoich działań. </w:t>
      </w:r>
    </w:p>
    <w:p w14:paraId="5CF98D06" w14:textId="77777777" w:rsidR="00F413BE" w:rsidRPr="00F413BE" w:rsidRDefault="00F413BE" w:rsidP="00F413BE">
      <w:pPr>
        <w:spacing w:after="0" w:line="360" w:lineRule="auto"/>
        <w:contextualSpacing/>
        <w:jc w:val="both"/>
        <w:rPr>
          <w:rFonts w:ascii="Arial" w:hAnsi="Arial" w:cs="Arial"/>
          <w:b/>
          <w:sz w:val="20"/>
          <w:szCs w:val="20"/>
        </w:rPr>
      </w:pPr>
    </w:p>
    <w:p w14:paraId="6CA3F725" w14:textId="77777777" w:rsidR="00F413BE" w:rsidRPr="00F413BE" w:rsidRDefault="00F413BE" w:rsidP="00F413BE">
      <w:pPr>
        <w:spacing w:after="0" w:line="360" w:lineRule="auto"/>
        <w:contextualSpacing/>
        <w:jc w:val="both"/>
        <w:rPr>
          <w:rFonts w:ascii="Arial" w:hAnsi="Arial" w:cs="Arial"/>
          <w:b/>
          <w:sz w:val="20"/>
          <w:szCs w:val="20"/>
        </w:rPr>
      </w:pPr>
      <w:r w:rsidRPr="00F413BE">
        <w:rPr>
          <w:rFonts w:ascii="Arial" w:hAnsi="Arial" w:cs="Arial"/>
          <w:b/>
          <w:sz w:val="20"/>
          <w:szCs w:val="20"/>
        </w:rPr>
        <w:t>Podstawa prawna</w:t>
      </w:r>
      <w:bookmarkStart w:id="0" w:name="_GoBack"/>
      <w:bookmarkEnd w:id="0"/>
    </w:p>
    <w:p w14:paraId="694D29B8" w14:textId="77777777" w:rsidR="00F413BE" w:rsidRPr="00F413BE" w:rsidRDefault="00F413BE" w:rsidP="00F413BE">
      <w:pPr>
        <w:numPr>
          <w:ilvl w:val="0"/>
          <w:numId w:val="35"/>
        </w:numPr>
        <w:spacing w:after="0" w:line="360" w:lineRule="auto"/>
        <w:ind w:left="284" w:hanging="284"/>
        <w:contextualSpacing/>
        <w:jc w:val="both"/>
        <w:rPr>
          <w:rFonts w:ascii="Arial" w:hAnsi="Arial" w:cs="Arial"/>
          <w:sz w:val="20"/>
          <w:szCs w:val="20"/>
        </w:rPr>
      </w:pPr>
      <w:r w:rsidRPr="00F413BE">
        <w:rPr>
          <w:rFonts w:ascii="Arial" w:hAnsi="Arial" w:cs="Arial"/>
          <w:sz w:val="20"/>
          <w:szCs w:val="20"/>
        </w:rPr>
        <w:t>Interpretacja indywidualna Dyrektora Izby Skarbowej w Warszawie z dnia 11 września 2009 r., znak: IPPP1-443-555/09-5PR.</w:t>
      </w:r>
    </w:p>
    <w:p w14:paraId="50466B9B" w14:textId="77777777" w:rsidR="00F413BE" w:rsidRPr="00F413BE" w:rsidRDefault="00F413BE" w:rsidP="00F413BE">
      <w:pPr>
        <w:numPr>
          <w:ilvl w:val="0"/>
          <w:numId w:val="35"/>
        </w:numPr>
        <w:spacing w:after="0" w:line="360" w:lineRule="auto"/>
        <w:ind w:left="284" w:hanging="284"/>
        <w:contextualSpacing/>
        <w:jc w:val="both"/>
        <w:rPr>
          <w:rFonts w:ascii="Arial" w:hAnsi="Arial" w:cs="Arial"/>
          <w:sz w:val="20"/>
          <w:szCs w:val="20"/>
          <w:lang w:eastAsia="pl-PL"/>
        </w:rPr>
      </w:pPr>
      <w:r w:rsidRPr="00F413BE">
        <w:rPr>
          <w:rFonts w:ascii="Arial" w:hAnsi="Arial" w:cs="Arial"/>
          <w:sz w:val="20"/>
          <w:szCs w:val="20"/>
          <w:lang w:eastAsia="pl-PL"/>
        </w:rPr>
        <w:t xml:space="preserve">Pismo z dnia 13 czerwca 2023 r. </w:t>
      </w:r>
      <w:bookmarkStart w:id="1" w:name="_Hlk173496836"/>
      <w:r w:rsidRPr="00F413BE">
        <w:rPr>
          <w:rFonts w:ascii="Arial" w:hAnsi="Arial" w:cs="Arial"/>
          <w:sz w:val="20"/>
          <w:szCs w:val="20"/>
          <w:lang w:eastAsia="pl-PL"/>
        </w:rPr>
        <w:t>Dyrektora Krajowej Informacji S</w:t>
      </w:r>
      <w:bookmarkEnd w:id="1"/>
      <w:r w:rsidRPr="00F413BE">
        <w:rPr>
          <w:rFonts w:ascii="Arial" w:hAnsi="Arial" w:cs="Arial"/>
          <w:sz w:val="20"/>
          <w:szCs w:val="20"/>
          <w:lang w:eastAsia="pl-PL"/>
        </w:rPr>
        <w:t>karbowej, sygn. akt: 0111-KDIB2-1.4010.118.2023.2.MK.</w:t>
      </w:r>
    </w:p>
    <w:p w14:paraId="389B0B80" w14:textId="77777777" w:rsidR="00F413BE" w:rsidRPr="00F413BE" w:rsidRDefault="00F413BE" w:rsidP="00F413BE">
      <w:pPr>
        <w:numPr>
          <w:ilvl w:val="0"/>
          <w:numId w:val="35"/>
        </w:numPr>
        <w:spacing w:after="0" w:line="360" w:lineRule="auto"/>
        <w:ind w:left="284" w:hanging="284"/>
        <w:contextualSpacing/>
        <w:jc w:val="both"/>
        <w:rPr>
          <w:rFonts w:ascii="Arial" w:hAnsi="Arial" w:cs="Arial"/>
          <w:sz w:val="20"/>
          <w:szCs w:val="20"/>
        </w:rPr>
      </w:pPr>
      <w:r w:rsidRPr="00F413BE">
        <w:rPr>
          <w:rFonts w:ascii="Arial" w:hAnsi="Arial" w:cs="Arial"/>
          <w:sz w:val="20"/>
          <w:szCs w:val="20"/>
        </w:rPr>
        <w:t>Postanowienie NSA z dnia 17 grudnia 2012 r., sygn. akt: II FSK 702/11.</w:t>
      </w:r>
    </w:p>
    <w:p w14:paraId="2F150072" w14:textId="77777777" w:rsidR="00F413BE" w:rsidRPr="00F413BE" w:rsidRDefault="00F413BE" w:rsidP="00F413BE">
      <w:pPr>
        <w:numPr>
          <w:ilvl w:val="0"/>
          <w:numId w:val="35"/>
        </w:numPr>
        <w:spacing w:after="0" w:line="360" w:lineRule="auto"/>
        <w:ind w:left="284" w:hanging="284"/>
        <w:contextualSpacing/>
        <w:jc w:val="both"/>
        <w:rPr>
          <w:rFonts w:ascii="Arial" w:hAnsi="Arial" w:cs="Arial"/>
          <w:sz w:val="20"/>
          <w:szCs w:val="20"/>
        </w:rPr>
      </w:pPr>
      <w:r w:rsidRPr="00F413BE">
        <w:rPr>
          <w:rFonts w:ascii="Arial" w:hAnsi="Arial" w:cs="Arial"/>
          <w:sz w:val="20"/>
          <w:szCs w:val="20"/>
        </w:rPr>
        <w:t>Wyrok WSA w Warszawie z dnia 22 kwietnia 2015 r., sygn. akt: III SA/</w:t>
      </w:r>
      <w:proofErr w:type="spellStart"/>
      <w:r w:rsidRPr="00F413BE">
        <w:rPr>
          <w:rFonts w:ascii="Arial" w:hAnsi="Arial" w:cs="Arial"/>
          <w:sz w:val="20"/>
          <w:szCs w:val="20"/>
        </w:rPr>
        <w:t>Wa</w:t>
      </w:r>
      <w:proofErr w:type="spellEnd"/>
      <w:r w:rsidRPr="00F413BE">
        <w:rPr>
          <w:rFonts w:ascii="Arial" w:hAnsi="Arial" w:cs="Arial"/>
          <w:sz w:val="20"/>
          <w:szCs w:val="20"/>
        </w:rPr>
        <w:t xml:space="preserve"> 1630/14.</w:t>
      </w:r>
    </w:p>
    <w:p w14:paraId="2AE8507F" w14:textId="77777777" w:rsidR="0054151C" w:rsidRDefault="0054151C"/>
    <w:sectPr w:rsidR="0054151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157BA"/>
    <w:multiLevelType w:val="hybridMultilevel"/>
    <w:tmpl w:val="62DE6B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78574B"/>
    <w:multiLevelType w:val="hybridMultilevel"/>
    <w:tmpl w:val="3DF085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D7055E"/>
    <w:multiLevelType w:val="hybridMultilevel"/>
    <w:tmpl w:val="2EA6E2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511AA7"/>
    <w:multiLevelType w:val="hybridMultilevel"/>
    <w:tmpl w:val="7DD2449A"/>
    <w:lvl w:ilvl="0" w:tplc="DD742D7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A516FB8"/>
    <w:multiLevelType w:val="hybridMultilevel"/>
    <w:tmpl w:val="5B6E21EC"/>
    <w:lvl w:ilvl="0" w:tplc="91586AF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D2F634E"/>
    <w:multiLevelType w:val="hybridMultilevel"/>
    <w:tmpl w:val="C6CCF48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574344E"/>
    <w:multiLevelType w:val="hybridMultilevel"/>
    <w:tmpl w:val="A36AC922"/>
    <w:lvl w:ilvl="0" w:tplc="DD742D7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DF31DC5"/>
    <w:multiLevelType w:val="hybridMultilevel"/>
    <w:tmpl w:val="9B36F3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F453F02"/>
    <w:multiLevelType w:val="hybridMultilevel"/>
    <w:tmpl w:val="1CB83F12"/>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31231B0"/>
    <w:multiLevelType w:val="hybridMultilevel"/>
    <w:tmpl w:val="C58ADB7A"/>
    <w:lvl w:ilvl="0" w:tplc="24AC50E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46739E5"/>
    <w:multiLevelType w:val="hybridMultilevel"/>
    <w:tmpl w:val="A8380146"/>
    <w:lvl w:ilvl="0" w:tplc="DD742D7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6CD5105"/>
    <w:multiLevelType w:val="hybridMultilevel"/>
    <w:tmpl w:val="DE4ED6B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E8752E"/>
    <w:multiLevelType w:val="hybridMultilevel"/>
    <w:tmpl w:val="7DD48D66"/>
    <w:lvl w:ilvl="0" w:tplc="FB1E7960">
      <w:start w:val="1"/>
      <w:numFmt w:val="bullet"/>
      <w:lvlText w:val="-"/>
      <w:lvlJc w:val="left"/>
      <w:pPr>
        <w:tabs>
          <w:tab w:val="num" w:pos="720"/>
        </w:tabs>
        <w:ind w:left="720" w:hanging="360"/>
      </w:pPr>
      <w:rPr>
        <w:rFonts w:ascii="Times New Roman" w:hAnsi="Times New Roman" w:hint="default"/>
      </w:rPr>
    </w:lvl>
    <w:lvl w:ilvl="1" w:tplc="F7320610" w:tentative="1">
      <w:start w:val="1"/>
      <w:numFmt w:val="bullet"/>
      <w:lvlText w:val="-"/>
      <w:lvlJc w:val="left"/>
      <w:pPr>
        <w:tabs>
          <w:tab w:val="num" w:pos="1440"/>
        </w:tabs>
        <w:ind w:left="1440" w:hanging="360"/>
      </w:pPr>
      <w:rPr>
        <w:rFonts w:ascii="Times New Roman" w:hAnsi="Times New Roman" w:hint="default"/>
      </w:rPr>
    </w:lvl>
    <w:lvl w:ilvl="2" w:tplc="04A6D780" w:tentative="1">
      <w:start w:val="1"/>
      <w:numFmt w:val="bullet"/>
      <w:lvlText w:val="-"/>
      <w:lvlJc w:val="left"/>
      <w:pPr>
        <w:tabs>
          <w:tab w:val="num" w:pos="2160"/>
        </w:tabs>
        <w:ind w:left="2160" w:hanging="360"/>
      </w:pPr>
      <w:rPr>
        <w:rFonts w:ascii="Times New Roman" w:hAnsi="Times New Roman" w:hint="default"/>
      </w:rPr>
    </w:lvl>
    <w:lvl w:ilvl="3" w:tplc="C07AC466" w:tentative="1">
      <w:start w:val="1"/>
      <w:numFmt w:val="bullet"/>
      <w:lvlText w:val="-"/>
      <w:lvlJc w:val="left"/>
      <w:pPr>
        <w:tabs>
          <w:tab w:val="num" w:pos="2880"/>
        </w:tabs>
        <w:ind w:left="2880" w:hanging="360"/>
      </w:pPr>
      <w:rPr>
        <w:rFonts w:ascii="Times New Roman" w:hAnsi="Times New Roman" w:hint="default"/>
      </w:rPr>
    </w:lvl>
    <w:lvl w:ilvl="4" w:tplc="09D21F16" w:tentative="1">
      <w:start w:val="1"/>
      <w:numFmt w:val="bullet"/>
      <w:lvlText w:val="-"/>
      <w:lvlJc w:val="left"/>
      <w:pPr>
        <w:tabs>
          <w:tab w:val="num" w:pos="3600"/>
        </w:tabs>
        <w:ind w:left="3600" w:hanging="360"/>
      </w:pPr>
      <w:rPr>
        <w:rFonts w:ascii="Times New Roman" w:hAnsi="Times New Roman" w:hint="default"/>
      </w:rPr>
    </w:lvl>
    <w:lvl w:ilvl="5" w:tplc="019C1AE0" w:tentative="1">
      <w:start w:val="1"/>
      <w:numFmt w:val="bullet"/>
      <w:lvlText w:val="-"/>
      <w:lvlJc w:val="left"/>
      <w:pPr>
        <w:tabs>
          <w:tab w:val="num" w:pos="4320"/>
        </w:tabs>
        <w:ind w:left="4320" w:hanging="360"/>
      </w:pPr>
      <w:rPr>
        <w:rFonts w:ascii="Times New Roman" w:hAnsi="Times New Roman" w:hint="default"/>
      </w:rPr>
    </w:lvl>
    <w:lvl w:ilvl="6" w:tplc="638E9F9E" w:tentative="1">
      <w:start w:val="1"/>
      <w:numFmt w:val="bullet"/>
      <w:lvlText w:val="-"/>
      <w:lvlJc w:val="left"/>
      <w:pPr>
        <w:tabs>
          <w:tab w:val="num" w:pos="5040"/>
        </w:tabs>
        <w:ind w:left="5040" w:hanging="360"/>
      </w:pPr>
      <w:rPr>
        <w:rFonts w:ascii="Times New Roman" w:hAnsi="Times New Roman" w:hint="default"/>
      </w:rPr>
    </w:lvl>
    <w:lvl w:ilvl="7" w:tplc="21B81734" w:tentative="1">
      <w:start w:val="1"/>
      <w:numFmt w:val="bullet"/>
      <w:lvlText w:val="-"/>
      <w:lvlJc w:val="left"/>
      <w:pPr>
        <w:tabs>
          <w:tab w:val="num" w:pos="5760"/>
        </w:tabs>
        <w:ind w:left="5760" w:hanging="360"/>
      </w:pPr>
      <w:rPr>
        <w:rFonts w:ascii="Times New Roman" w:hAnsi="Times New Roman" w:hint="default"/>
      </w:rPr>
    </w:lvl>
    <w:lvl w:ilvl="8" w:tplc="74DA6CF6"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29347565"/>
    <w:multiLevelType w:val="hybridMultilevel"/>
    <w:tmpl w:val="CD609446"/>
    <w:lvl w:ilvl="0" w:tplc="91586AF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9B948ED"/>
    <w:multiLevelType w:val="hybridMultilevel"/>
    <w:tmpl w:val="005E6F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D526606"/>
    <w:multiLevelType w:val="hybridMultilevel"/>
    <w:tmpl w:val="81DEA94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E052641"/>
    <w:multiLevelType w:val="hybridMultilevel"/>
    <w:tmpl w:val="6DC0C862"/>
    <w:lvl w:ilvl="0" w:tplc="0415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F4072D5"/>
    <w:multiLevelType w:val="hybridMultilevel"/>
    <w:tmpl w:val="53E62704"/>
    <w:lvl w:ilvl="0" w:tplc="DD742D7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F743F36"/>
    <w:multiLevelType w:val="hybridMultilevel"/>
    <w:tmpl w:val="1F126108"/>
    <w:lvl w:ilvl="0" w:tplc="0415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2FBF6AAB"/>
    <w:multiLevelType w:val="hybridMultilevel"/>
    <w:tmpl w:val="DBEA430A"/>
    <w:lvl w:ilvl="0" w:tplc="DD742D7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9192C1B"/>
    <w:multiLevelType w:val="hybridMultilevel"/>
    <w:tmpl w:val="720488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59072D2"/>
    <w:multiLevelType w:val="hybridMultilevel"/>
    <w:tmpl w:val="57FCB7BC"/>
    <w:lvl w:ilvl="0" w:tplc="DD742D7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F6056FD"/>
    <w:multiLevelType w:val="hybridMultilevel"/>
    <w:tmpl w:val="FA3C7A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1EB718F"/>
    <w:multiLevelType w:val="hybridMultilevel"/>
    <w:tmpl w:val="7D9C264A"/>
    <w:lvl w:ilvl="0" w:tplc="0415000F">
      <w:start w:val="1"/>
      <w:numFmt w:val="decimal"/>
      <w:lvlText w:val="%1."/>
      <w:lvlJc w:val="left"/>
      <w:pPr>
        <w:ind w:left="774" w:hanging="360"/>
      </w:pPr>
    </w:lvl>
    <w:lvl w:ilvl="1" w:tplc="04150019" w:tentative="1">
      <w:start w:val="1"/>
      <w:numFmt w:val="lowerLetter"/>
      <w:lvlText w:val="%2."/>
      <w:lvlJc w:val="left"/>
      <w:pPr>
        <w:ind w:left="1494" w:hanging="360"/>
      </w:pPr>
    </w:lvl>
    <w:lvl w:ilvl="2" w:tplc="0415001B" w:tentative="1">
      <w:start w:val="1"/>
      <w:numFmt w:val="lowerRoman"/>
      <w:lvlText w:val="%3."/>
      <w:lvlJc w:val="right"/>
      <w:pPr>
        <w:ind w:left="2214" w:hanging="180"/>
      </w:pPr>
    </w:lvl>
    <w:lvl w:ilvl="3" w:tplc="0415000F" w:tentative="1">
      <w:start w:val="1"/>
      <w:numFmt w:val="decimal"/>
      <w:lvlText w:val="%4."/>
      <w:lvlJc w:val="left"/>
      <w:pPr>
        <w:ind w:left="2934" w:hanging="360"/>
      </w:pPr>
    </w:lvl>
    <w:lvl w:ilvl="4" w:tplc="04150019" w:tentative="1">
      <w:start w:val="1"/>
      <w:numFmt w:val="lowerLetter"/>
      <w:lvlText w:val="%5."/>
      <w:lvlJc w:val="left"/>
      <w:pPr>
        <w:ind w:left="3654" w:hanging="360"/>
      </w:pPr>
    </w:lvl>
    <w:lvl w:ilvl="5" w:tplc="0415001B" w:tentative="1">
      <w:start w:val="1"/>
      <w:numFmt w:val="lowerRoman"/>
      <w:lvlText w:val="%6."/>
      <w:lvlJc w:val="right"/>
      <w:pPr>
        <w:ind w:left="4374" w:hanging="180"/>
      </w:pPr>
    </w:lvl>
    <w:lvl w:ilvl="6" w:tplc="0415000F" w:tentative="1">
      <w:start w:val="1"/>
      <w:numFmt w:val="decimal"/>
      <w:lvlText w:val="%7."/>
      <w:lvlJc w:val="left"/>
      <w:pPr>
        <w:ind w:left="5094" w:hanging="360"/>
      </w:pPr>
    </w:lvl>
    <w:lvl w:ilvl="7" w:tplc="04150019" w:tentative="1">
      <w:start w:val="1"/>
      <w:numFmt w:val="lowerLetter"/>
      <w:lvlText w:val="%8."/>
      <w:lvlJc w:val="left"/>
      <w:pPr>
        <w:ind w:left="5814" w:hanging="360"/>
      </w:pPr>
    </w:lvl>
    <w:lvl w:ilvl="8" w:tplc="0415001B" w:tentative="1">
      <w:start w:val="1"/>
      <w:numFmt w:val="lowerRoman"/>
      <w:lvlText w:val="%9."/>
      <w:lvlJc w:val="right"/>
      <w:pPr>
        <w:ind w:left="6534" w:hanging="180"/>
      </w:pPr>
    </w:lvl>
  </w:abstractNum>
  <w:abstractNum w:abstractNumId="24" w15:restartNumberingAfterBreak="0">
    <w:nsid w:val="536D4827"/>
    <w:multiLevelType w:val="hybridMultilevel"/>
    <w:tmpl w:val="802EFC3E"/>
    <w:lvl w:ilvl="0" w:tplc="DD742D7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54FC204C"/>
    <w:multiLevelType w:val="hybridMultilevel"/>
    <w:tmpl w:val="6528286C"/>
    <w:lvl w:ilvl="0" w:tplc="DD742D7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8AF0A42"/>
    <w:multiLevelType w:val="hybridMultilevel"/>
    <w:tmpl w:val="94DA0E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8CB1EAD"/>
    <w:multiLevelType w:val="hybridMultilevel"/>
    <w:tmpl w:val="020AB5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ABB72D9"/>
    <w:multiLevelType w:val="hybridMultilevel"/>
    <w:tmpl w:val="74A6A316"/>
    <w:lvl w:ilvl="0" w:tplc="DD742D7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5EBF0083"/>
    <w:multiLevelType w:val="hybridMultilevel"/>
    <w:tmpl w:val="AEA8F318"/>
    <w:lvl w:ilvl="0" w:tplc="DD742D7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FAC18C5"/>
    <w:multiLevelType w:val="multilevel"/>
    <w:tmpl w:val="8B92F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14C5EA1"/>
    <w:multiLevelType w:val="hybridMultilevel"/>
    <w:tmpl w:val="3AD2FE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2A6342A"/>
    <w:multiLevelType w:val="hybridMultilevel"/>
    <w:tmpl w:val="FB6877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3591798"/>
    <w:multiLevelType w:val="hybridMultilevel"/>
    <w:tmpl w:val="D07E02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FFF5614"/>
    <w:multiLevelType w:val="hybridMultilevel"/>
    <w:tmpl w:val="E5AA3BCC"/>
    <w:lvl w:ilvl="0" w:tplc="D92E3DA8">
      <w:start w:val="1"/>
      <w:numFmt w:val="bullet"/>
      <w:lvlText w:val="-"/>
      <w:lvlJc w:val="left"/>
      <w:pPr>
        <w:ind w:left="1287" w:hanging="360"/>
      </w:pPr>
      <w:rPr>
        <w:rFonts w:ascii="Arial" w:hAnsi="Aria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5" w15:restartNumberingAfterBreak="0">
    <w:nsid w:val="70F533A8"/>
    <w:multiLevelType w:val="hybridMultilevel"/>
    <w:tmpl w:val="CBAE85CE"/>
    <w:lvl w:ilvl="0" w:tplc="0415000F">
      <w:start w:val="3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46A4AF5"/>
    <w:multiLevelType w:val="hybridMultilevel"/>
    <w:tmpl w:val="D8A84CE6"/>
    <w:lvl w:ilvl="0" w:tplc="DD742D7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9383E14"/>
    <w:multiLevelType w:val="multilevel"/>
    <w:tmpl w:val="8542D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9CF49B9"/>
    <w:multiLevelType w:val="hybridMultilevel"/>
    <w:tmpl w:val="DED6798A"/>
    <w:lvl w:ilvl="0" w:tplc="DD742D7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7A876F99"/>
    <w:multiLevelType w:val="hybridMultilevel"/>
    <w:tmpl w:val="097653CA"/>
    <w:lvl w:ilvl="0" w:tplc="DD742D7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7ED44E3D"/>
    <w:multiLevelType w:val="hybridMultilevel"/>
    <w:tmpl w:val="A402894C"/>
    <w:lvl w:ilvl="0" w:tplc="91586AF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9"/>
  </w:num>
  <w:num w:numId="2">
    <w:abstractNumId w:val="13"/>
  </w:num>
  <w:num w:numId="3">
    <w:abstractNumId w:val="4"/>
  </w:num>
  <w:num w:numId="4">
    <w:abstractNumId w:val="40"/>
  </w:num>
  <w:num w:numId="5">
    <w:abstractNumId w:val="37"/>
  </w:num>
  <w:num w:numId="6">
    <w:abstractNumId w:val="12"/>
  </w:num>
  <w:num w:numId="7">
    <w:abstractNumId w:val="35"/>
  </w:num>
  <w:num w:numId="8">
    <w:abstractNumId w:val="14"/>
  </w:num>
  <w:num w:numId="9">
    <w:abstractNumId w:val="15"/>
  </w:num>
  <w:num w:numId="10">
    <w:abstractNumId w:val="18"/>
  </w:num>
  <w:num w:numId="11">
    <w:abstractNumId w:val="29"/>
  </w:num>
  <w:num w:numId="12">
    <w:abstractNumId w:val="16"/>
  </w:num>
  <w:num w:numId="13">
    <w:abstractNumId w:val="1"/>
  </w:num>
  <w:num w:numId="14">
    <w:abstractNumId w:val="27"/>
  </w:num>
  <w:num w:numId="15">
    <w:abstractNumId w:val="33"/>
  </w:num>
  <w:num w:numId="16">
    <w:abstractNumId w:val="31"/>
  </w:num>
  <w:num w:numId="17">
    <w:abstractNumId w:val="5"/>
  </w:num>
  <w:num w:numId="18">
    <w:abstractNumId w:val="30"/>
  </w:num>
  <w:num w:numId="19">
    <w:abstractNumId w:val="19"/>
  </w:num>
  <w:num w:numId="20">
    <w:abstractNumId w:val="23"/>
  </w:num>
  <w:num w:numId="21">
    <w:abstractNumId w:val="22"/>
  </w:num>
  <w:num w:numId="22">
    <w:abstractNumId w:val="2"/>
  </w:num>
  <w:num w:numId="23">
    <w:abstractNumId w:val="3"/>
  </w:num>
  <w:num w:numId="24">
    <w:abstractNumId w:val="36"/>
  </w:num>
  <w:num w:numId="25">
    <w:abstractNumId w:val="17"/>
  </w:num>
  <w:num w:numId="26">
    <w:abstractNumId w:val="10"/>
  </w:num>
  <w:num w:numId="27">
    <w:abstractNumId w:val="26"/>
  </w:num>
  <w:num w:numId="28">
    <w:abstractNumId w:val="21"/>
  </w:num>
  <w:num w:numId="29">
    <w:abstractNumId w:val="6"/>
  </w:num>
  <w:num w:numId="30">
    <w:abstractNumId w:val="34"/>
  </w:num>
  <w:num w:numId="31">
    <w:abstractNumId w:val="20"/>
  </w:num>
  <w:num w:numId="32">
    <w:abstractNumId w:val="7"/>
  </w:num>
  <w:num w:numId="33">
    <w:abstractNumId w:val="24"/>
  </w:num>
  <w:num w:numId="34">
    <w:abstractNumId w:val="25"/>
  </w:num>
  <w:num w:numId="35">
    <w:abstractNumId w:val="0"/>
  </w:num>
  <w:num w:numId="36">
    <w:abstractNumId w:val="32"/>
  </w:num>
  <w:num w:numId="37">
    <w:abstractNumId w:val="38"/>
  </w:num>
  <w:num w:numId="38">
    <w:abstractNumId w:val="11"/>
  </w:num>
  <w:num w:numId="39">
    <w:abstractNumId w:val="28"/>
  </w:num>
  <w:num w:numId="40">
    <w:abstractNumId w:val="39"/>
  </w:num>
  <w:num w:numId="4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140E"/>
    <w:rsid w:val="0054151C"/>
    <w:rsid w:val="0064140E"/>
    <w:rsid w:val="00F413B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8E8E02F-5020-4BD8-A2D8-3D153AF99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F413B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unhideWhenUsed/>
    <w:qFormat/>
    <w:rsid w:val="00F413B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unhideWhenUsed/>
    <w:qFormat/>
    <w:rsid w:val="00F413B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413BE"/>
    <w:rPr>
      <w:rFonts w:asciiTheme="majorHAnsi" w:eastAsiaTheme="majorEastAsia" w:hAnsiTheme="majorHAnsi" w:cstheme="majorBidi"/>
      <w:color w:val="2F5496" w:themeColor="accent1" w:themeShade="BF"/>
      <w:sz w:val="32"/>
      <w:szCs w:val="32"/>
    </w:rPr>
  </w:style>
  <w:style w:type="character" w:customStyle="1" w:styleId="Nagwek2Znak">
    <w:name w:val="Nagłówek 2 Znak"/>
    <w:basedOn w:val="Domylnaczcionkaakapitu"/>
    <w:link w:val="Nagwek2"/>
    <w:uiPriority w:val="9"/>
    <w:rsid w:val="00F413BE"/>
    <w:rPr>
      <w:rFonts w:asciiTheme="majorHAnsi" w:eastAsiaTheme="majorEastAsia" w:hAnsiTheme="majorHAnsi" w:cstheme="majorBidi"/>
      <w:color w:val="2F5496" w:themeColor="accent1" w:themeShade="BF"/>
      <w:sz w:val="26"/>
      <w:szCs w:val="26"/>
    </w:rPr>
  </w:style>
  <w:style w:type="character" w:customStyle="1" w:styleId="Nagwek3Znak">
    <w:name w:val="Nagłówek 3 Znak"/>
    <w:basedOn w:val="Domylnaczcionkaakapitu"/>
    <w:link w:val="Nagwek3"/>
    <w:uiPriority w:val="9"/>
    <w:rsid w:val="00F413BE"/>
    <w:rPr>
      <w:rFonts w:asciiTheme="majorHAnsi" w:eastAsiaTheme="majorEastAsia" w:hAnsiTheme="majorHAnsi" w:cstheme="majorBidi"/>
      <w:color w:val="1F3763" w:themeColor="accent1" w:themeShade="7F"/>
      <w:sz w:val="24"/>
      <w:szCs w:val="24"/>
    </w:rPr>
  </w:style>
  <w:style w:type="paragraph" w:styleId="Akapitzlist">
    <w:name w:val="List Paragraph"/>
    <w:aliases w:val="Numerowanie,List Paragraph"/>
    <w:basedOn w:val="Normalny"/>
    <w:link w:val="AkapitzlistZnak"/>
    <w:uiPriority w:val="34"/>
    <w:qFormat/>
    <w:rsid w:val="00F413BE"/>
    <w:pPr>
      <w:ind w:left="720"/>
      <w:contextualSpacing/>
    </w:pPr>
  </w:style>
  <w:style w:type="character" w:styleId="Pogrubienie">
    <w:name w:val="Strong"/>
    <w:basedOn w:val="Domylnaczcionkaakapitu"/>
    <w:uiPriority w:val="22"/>
    <w:qFormat/>
    <w:rsid w:val="00F413BE"/>
    <w:rPr>
      <w:b/>
      <w:bCs/>
    </w:rPr>
  </w:style>
  <w:style w:type="character" w:customStyle="1" w:styleId="AkapitzlistZnak">
    <w:name w:val="Akapit z listą Znak"/>
    <w:aliases w:val="Numerowanie Znak,List Paragraph Znak"/>
    <w:basedOn w:val="Domylnaczcionkaakapitu"/>
    <w:link w:val="Akapitzlist"/>
    <w:uiPriority w:val="34"/>
    <w:locked/>
    <w:rsid w:val="00F413BE"/>
  </w:style>
  <w:style w:type="character" w:customStyle="1" w:styleId="hgkelc">
    <w:name w:val="hgkelc"/>
    <w:basedOn w:val="Domylnaczcionkaakapitu"/>
    <w:rsid w:val="00F413BE"/>
  </w:style>
  <w:style w:type="character" w:customStyle="1" w:styleId="verd">
    <w:name w:val="verd"/>
    <w:basedOn w:val="Domylnaczcionkaakapitu"/>
    <w:rsid w:val="00F413BE"/>
  </w:style>
  <w:style w:type="paragraph" w:styleId="NormalnyWeb">
    <w:name w:val="Normal (Web)"/>
    <w:basedOn w:val="Normalny"/>
    <w:uiPriority w:val="99"/>
    <w:unhideWhenUsed/>
    <w:rsid w:val="00F413BE"/>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act">
    <w:name w:val="act"/>
    <w:basedOn w:val="Domylnaczcionkaakapitu"/>
    <w:rsid w:val="00F413BE"/>
  </w:style>
  <w:style w:type="character" w:styleId="Hipercze">
    <w:name w:val="Hyperlink"/>
    <w:basedOn w:val="Domylnaczcionkaakapitu"/>
    <w:uiPriority w:val="99"/>
    <w:unhideWhenUsed/>
    <w:rsid w:val="00F413B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1951</Words>
  <Characters>11707</Characters>
  <Application>Microsoft Office Word</Application>
  <DocSecurity>0</DocSecurity>
  <Lines>97</Lines>
  <Paragraphs>27</Paragraphs>
  <ScaleCrop>false</ScaleCrop>
  <Company>Forum Media Polska</Company>
  <LinksUpToDate>false</LinksUpToDate>
  <CharactersWithSpaces>13631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Sawicki Jakub</dc:creator>
  <cp:keywords/>
  <dc:description/>
  <cp:lastModifiedBy>Sawicki Jakub</cp:lastModifiedBy>
  <cp:revision>2</cp:revision>
  <dcterms:created xsi:type="dcterms:W3CDTF">2024-08-08T11:54:00Z</dcterms:created>
  <dcterms:modified xsi:type="dcterms:W3CDTF">2024-08-08T11:54:00Z</dcterms:modified>
</cp:coreProperties>
</file>